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6064B8" w14:textId="77777777" w:rsidR="00C458ED" w:rsidRPr="00E371B1" w:rsidRDefault="00C458ED" w:rsidP="0092693A">
      <w:pPr>
        <w:pBdr>
          <w:top w:val="single" w:sz="4" w:space="1" w:color="auto"/>
          <w:bottom w:val="single" w:sz="4" w:space="1" w:color="auto"/>
        </w:pBdr>
        <w:shd w:val="clear" w:color="auto" w:fill="262626" w:themeFill="text1" w:themeFillTint="D9"/>
        <w:jc w:val="center"/>
        <w:rPr>
          <w:b/>
          <w:smallCaps/>
        </w:rPr>
      </w:pPr>
      <w:r w:rsidRPr="00E371B1">
        <w:rPr>
          <w:b/>
          <w:smallCaps/>
        </w:rPr>
        <w:t>Instructions</w:t>
      </w:r>
    </w:p>
    <w:p w14:paraId="6104C554" w14:textId="77777777" w:rsidR="00AF4858" w:rsidRPr="00AF4858" w:rsidRDefault="0092693A" w:rsidP="00A15A8C">
      <w:pPr>
        <w:pBdr>
          <w:bottom w:val="single" w:sz="4" w:space="1" w:color="auto"/>
        </w:pBdr>
      </w:pPr>
      <w:r w:rsidRPr="00E371B1">
        <w:t>Please supply requested information in the blue-shaded areas and indicate any attachments that have been included.</w:t>
      </w:r>
      <w:r w:rsidR="00AF4858">
        <w:t xml:space="preserve">  </w:t>
      </w:r>
      <w:r w:rsidR="00E86145" w:rsidRPr="00AF4858">
        <w:t xml:space="preserve">Where appropriate, supporting documentation may be referenced by specific page and/or paragraph number(s). </w:t>
      </w:r>
    </w:p>
    <w:p w14:paraId="0F13033B" w14:textId="77777777" w:rsidR="00AF4858" w:rsidRPr="00AF4858" w:rsidRDefault="00AF4858" w:rsidP="00A15A8C">
      <w:pPr>
        <w:pBdr>
          <w:bottom w:val="single" w:sz="4" w:space="1" w:color="auto"/>
        </w:pBdr>
      </w:pPr>
    </w:p>
    <w:p w14:paraId="676FAE7F" w14:textId="77777777" w:rsidR="00AF4858" w:rsidRPr="009D764A" w:rsidRDefault="00E86145" w:rsidP="00AF4858">
      <w:pPr>
        <w:pBdr>
          <w:bottom w:val="single" w:sz="4" w:space="1" w:color="auto"/>
        </w:pBdr>
        <w:rPr>
          <w:b/>
          <w:bCs/>
        </w:rPr>
      </w:pPr>
      <w:r w:rsidRPr="009D764A">
        <w:rPr>
          <w:b/>
          <w:bCs/>
        </w:rPr>
        <w:t>If any of this response contains confidential information,</w:t>
      </w:r>
      <w:r w:rsidR="005E02CB" w:rsidRPr="009D764A">
        <w:rPr>
          <w:b/>
          <w:bCs/>
        </w:rPr>
        <w:t xml:space="preserve"> as defined by IC 5-14-3, provide a </w:t>
      </w:r>
      <w:r w:rsidR="00AF4858" w:rsidRPr="009D764A">
        <w:rPr>
          <w:b/>
          <w:bCs/>
        </w:rPr>
        <w:t>separate</w:t>
      </w:r>
      <w:r w:rsidR="005E02CB" w:rsidRPr="009D764A">
        <w:rPr>
          <w:b/>
          <w:bCs/>
        </w:rPr>
        <w:t xml:space="preserve"> redacted (for public release) version of this </w:t>
      </w:r>
      <w:r w:rsidR="00082C7C" w:rsidRPr="009D764A">
        <w:rPr>
          <w:b/>
          <w:bCs/>
        </w:rPr>
        <w:t xml:space="preserve">document.  </w:t>
      </w:r>
      <w:r w:rsidR="00AF4858" w:rsidRPr="009D764A">
        <w:rPr>
          <w:b/>
          <w:bCs/>
        </w:rPr>
        <w:t xml:space="preserve">Specify which statutory exception of APRA applies </w:t>
      </w:r>
      <w:r w:rsidR="00082C7C" w:rsidRPr="009D764A">
        <w:rPr>
          <w:b/>
          <w:bCs/>
        </w:rPr>
        <w:t>and p</w:t>
      </w:r>
      <w:r w:rsidR="00AF4858" w:rsidRPr="009D764A">
        <w:rPr>
          <w:b/>
          <w:bCs/>
        </w:rPr>
        <w:t xml:space="preserve">rovide a description explaining the </w:t>
      </w:r>
      <w:proofErr w:type="gramStart"/>
      <w:r w:rsidR="00AF4858" w:rsidRPr="009D764A">
        <w:rPr>
          <w:b/>
          <w:bCs/>
        </w:rPr>
        <w:t>manner in which</w:t>
      </w:r>
      <w:proofErr w:type="gramEnd"/>
      <w:r w:rsidR="00AF4858" w:rsidRPr="009D764A">
        <w:rPr>
          <w:b/>
          <w:bCs/>
        </w:rPr>
        <w:t xml:space="preserve"> the statutor</w:t>
      </w:r>
      <w:r w:rsidR="00082C7C" w:rsidRPr="009D764A">
        <w:rPr>
          <w:b/>
          <w:bCs/>
        </w:rPr>
        <w:t>y exception to the APRA applies</w:t>
      </w:r>
      <w:r w:rsidR="00AF4858" w:rsidRPr="009D764A">
        <w:rPr>
          <w:b/>
          <w:bCs/>
        </w:rPr>
        <w:t>.</w:t>
      </w:r>
    </w:p>
    <w:p w14:paraId="42862397" w14:textId="77777777" w:rsidR="0092693A" w:rsidRPr="00E371B1" w:rsidRDefault="0092693A" w:rsidP="00685FD0">
      <w:pPr>
        <w:rPr>
          <w:b/>
          <w:smallCaps/>
        </w:rPr>
      </w:pPr>
    </w:p>
    <w:p w14:paraId="2F102F73" w14:textId="63463E65" w:rsidR="00CA57A4" w:rsidRPr="00E371B1" w:rsidRDefault="00CA57A4" w:rsidP="00685FD0">
      <w:pPr>
        <w:rPr>
          <w:b/>
          <w:smallCaps/>
          <w:u w:val="single"/>
        </w:rPr>
      </w:pPr>
      <w:r w:rsidRPr="00E371B1">
        <w:rPr>
          <w:b/>
          <w:smallCaps/>
          <w:u w:val="single"/>
        </w:rPr>
        <w:t>Respondent Name:</w:t>
      </w:r>
      <w:r w:rsidR="00B17199" w:rsidRPr="00766082">
        <w:rPr>
          <w:b/>
          <w:smallCaps/>
        </w:rPr>
        <w:t xml:space="preserve"> </w:t>
      </w:r>
      <w:r w:rsidR="00C33592" w:rsidRPr="00E17146">
        <w:rPr>
          <w:b/>
        </w:rPr>
        <w:t>Blackjack Uniforms</w:t>
      </w:r>
    </w:p>
    <w:p w14:paraId="1AF90F38" w14:textId="77777777" w:rsidR="00CA57A4" w:rsidRDefault="00CA57A4" w:rsidP="00685FD0">
      <w:pPr>
        <w:rPr>
          <w:b/>
          <w:smallCaps/>
        </w:rPr>
      </w:pPr>
    </w:p>
    <w:tbl>
      <w:tblPr>
        <w:tblStyle w:val="TableGrid"/>
        <w:tblW w:w="14395" w:type="dxa"/>
        <w:tblLook w:val="04A0" w:firstRow="1" w:lastRow="0" w:firstColumn="1" w:lastColumn="0" w:noHBand="0" w:noVBand="1"/>
      </w:tblPr>
      <w:tblGrid>
        <w:gridCol w:w="1075"/>
        <w:gridCol w:w="6660"/>
        <w:gridCol w:w="6660"/>
      </w:tblGrid>
      <w:tr w:rsidR="003B46CA" w:rsidRPr="00E371B1" w14:paraId="08F241F4" w14:textId="77777777" w:rsidTr="3613A743">
        <w:trPr>
          <w:tblHeader/>
        </w:trPr>
        <w:tc>
          <w:tcPr>
            <w:tcW w:w="14395" w:type="dxa"/>
            <w:gridSpan w:val="3"/>
            <w:tcBorders>
              <w:top w:val="nil"/>
              <w:left w:val="nil"/>
              <w:bottom w:val="single" w:sz="4" w:space="0" w:color="auto"/>
              <w:right w:val="nil"/>
            </w:tcBorders>
            <w:shd w:val="clear" w:color="auto" w:fill="FFFFFF" w:themeFill="background1"/>
            <w:vAlign w:val="center"/>
          </w:tcPr>
          <w:p w14:paraId="5315DDFE" w14:textId="246BD3CC" w:rsidR="00C33592" w:rsidRPr="00B03739" w:rsidRDefault="00C43DF7" w:rsidP="00C43DF7">
            <w:pPr>
              <w:rPr>
                <w:b/>
                <w:smallCaps/>
                <w:color w:val="FF0000"/>
              </w:rPr>
            </w:pPr>
            <w:r>
              <w:rPr>
                <w:b/>
                <w:smallCaps/>
                <w:color w:val="FF0000"/>
              </w:rPr>
              <w:t xml:space="preserve">Attachment </w:t>
            </w:r>
            <w:r w:rsidR="00C33592">
              <w:rPr>
                <w:b/>
                <w:smallCaps/>
                <w:color w:val="FF0000"/>
              </w:rPr>
              <w:t>E</w:t>
            </w:r>
            <w:r w:rsidR="003B46CA" w:rsidRPr="00B03739">
              <w:rPr>
                <w:b/>
                <w:smallCaps/>
                <w:color w:val="FF0000"/>
              </w:rPr>
              <w:t xml:space="preserve"> </w:t>
            </w:r>
            <w:r>
              <w:rPr>
                <w:b/>
                <w:smallCaps/>
                <w:color w:val="FF0000"/>
              </w:rPr>
              <w:t>–</w:t>
            </w:r>
            <w:r w:rsidR="003B46CA" w:rsidRPr="00B03739">
              <w:rPr>
                <w:b/>
                <w:smallCaps/>
                <w:color w:val="FF0000"/>
              </w:rPr>
              <w:t xml:space="preserve"> </w:t>
            </w:r>
            <w:r w:rsidR="00C33592">
              <w:rPr>
                <w:b/>
                <w:smallCaps/>
                <w:color w:val="FF0000"/>
              </w:rPr>
              <w:t xml:space="preserve">Business Proposal </w:t>
            </w:r>
          </w:p>
        </w:tc>
      </w:tr>
      <w:tr w:rsidR="00056904" w:rsidRPr="00E371B1" w14:paraId="2B274770" w14:textId="77777777" w:rsidTr="3613A743">
        <w:trPr>
          <w:tblHeader/>
        </w:trPr>
        <w:tc>
          <w:tcPr>
            <w:tcW w:w="1075" w:type="dxa"/>
            <w:tcBorders>
              <w:top w:val="single" w:sz="4" w:space="0" w:color="auto"/>
            </w:tcBorders>
            <w:shd w:val="clear" w:color="auto" w:fill="262626" w:themeFill="text1" w:themeFillTint="D9"/>
            <w:vAlign w:val="center"/>
          </w:tcPr>
          <w:p w14:paraId="50D8D79A" w14:textId="77777777" w:rsidR="00056904" w:rsidRPr="00E371B1" w:rsidRDefault="00056904" w:rsidP="00056904">
            <w:pPr>
              <w:jc w:val="center"/>
              <w:rPr>
                <w:b/>
                <w:smallCaps/>
              </w:rPr>
            </w:pPr>
            <w:r w:rsidRPr="00E371B1">
              <w:rPr>
                <w:b/>
                <w:smallCaps/>
              </w:rPr>
              <w:t>Section Number</w:t>
            </w:r>
          </w:p>
        </w:tc>
        <w:tc>
          <w:tcPr>
            <w:tcW w:w="6660" w:type="dxa"/>
            <w:tcBorders>
              <w:top w:val="single" w:sz="4" w:space="0" w:color="auto"/>
            </w:tcBorders>
            <w:shd w:val="clear" w:color="auto" w:fill="262626" w:themeFill="text1" w:themeFillTint="D9"/>
            <w:vAlign w:val="center"/>
          </w:tcPr>
          <w:p w14:paraId="29D3FDFF" w14:textId="77777777" w:rsidR="00056904" w:rsidRPr="00E371B1" w:rsidRDefault="00056904" w:rsidP="00056904">
            <w:pPr>
              <w:jc w:val="center"/>
              <w:rPr>
                <w:b/>
                <w:smallCaps/>
              </w:rPr>
            </w:pPr>
            <w:r w:rsidRPr="00E371B1">
              <w:rPr>
                <w:b/>
                <w:smallCaps/>
              </w:rPr>
              <w:t>Clarification Question</w:t>
            </w:r>
          </w:p>
        </w:tc>
        <w:tc>
          <w:tcPr>
            <w:tcW w:w="6660" w:type="dxa"/>
            <w:tcBorders>
              <w:top w:val="single" w:sz="4" w:space="0" w:color="auto"/>
            </w:tcBorders>
            <w:shd w:val="clear" w:color="auto" w:fill="262626" w:themeFill="text1" w:themeFillTint="D9"/>
            <w:vAlign w:val="center"/>
          </w:tcPr>
          <w:p w14:paraId="44C3EB50" w14:textId="77777777" w:rsidR="00056904" w:rsidRPr="00E371B1" w:rsidRDefault="00056904" w:rsidP="00056904">
            <w:pPr>
              <w:jc w:val="center"/>
              <w:rPr>
                <w:b/>
                <w:smallCaps/>
              </w:rPr>
            </w:pPr>
            <w:r w:rsidRPr="00E371B1">
              <w:rPr>
                <w:b/>
                <w:smallCaps/>
              </w:rPr>
              <w:t>Respondent Response</w:t>
            </w:r>
          </w:p>
        </w:tc>
      </w:tr>
      <w:tr w:rsidR="005C7BC1" w:rsidRPr="00E371B1" w14:paraId="096C1DA3" w14:textId="77777777" w:rsidTr="3613A743">
        <w:tc>
          <w:tcPr>
            <w:tcW w:w="1075" w:type="dxa"/>
          </w:tcPr>
          <w:p w14:paraId="1CEC5254" w14:textId="07DF4378" w:rsidR="005C7BC1" w:rsidRDefault="00C33592" w:rsidP="005C7BC1">
            <w:r>
              <w:t>2.3.2</w:t>
            </w:r>
          </w:p>
        </w:tc>
        <w:tc>
          <w:tcPr>
            <w:tcW w:w="6660" w:type="dxa"/>
            <w:shd w:val="clear" w:color="auto" w:fill="auto"/>
          </w:tcPr>
          <w:p w14:paraId="311F34A9" w14:textId="2E0EAA3D" w:rsidR="003B15FC" w:rsidRPr="003B15FC" w:rsidRDefault="00C33592" w:rsidP="003B15FC">
            <w:pPr>
              <w:rPr>
                <w:rFonts w:asciiTheme="majorHAnsi" w:hAnsiTheme="majorHAnsi" w:cstheme="majorHAnsi"/>
              </w:rPr>
            </w:pPr>
            <w:r w:rsidRPr="003B15FC">
              <w:rPr>
                <w:rFonts w:asciiTheme="majorHAnsi" w:hAnsiTheme="majorHAnsi" w:cstheme="majorHAnsi"/>
              </w:rPr>
              <w:t xml:space="preserve">Blackjack included a shortcut titled “Attachment E2.3.2 Respondent's Company Structure - Business </w:t>
            </w:r>
            <w:proofErr w:type="gramStart"/>
            <w:r w:rsidRPr="003B15FC">
              <w:rPr>
                <w:rFonts w:asciiTheme="majorHAnsi" w:hAnsiTheme="majorHAnsi" w:cstheme="majorHAnsi"/>
              </w:rPr>
              <w:t>Proposal  -</w:t>
            </w:r>
            <w:proofErr w:type="gramEnd"/>
            <w:r w:rsidRPr="003B15FC">
              <w:rPr>
                <w:rFonts w:asciiTheme="majorHAnsi" w:hAnsiTheme="majorHAnsi" w:cstheme="majorHAnsi"/>
              </w:rPr>
              <w:t xml:space="preserve"> Shortcut” in the “Attachments in Summary of Attachments” folder.  </w:t>
            </w:r>
            <w:r w:rsidR="003B15FC">
              <w:rPr>
                <w:rFonts w:asciiTheme="majorHAnsi" w:hAnsiTheme="majorHAnsi" w:cstheme="majorHAnsi"/>
              </w:rPr>
              <w:t>However, t</w:t>
            </w:r>
            <w:r w:rsidRPr="003B15FC">
              <w:rPr>
                <w:rFonts w:asciiTheme="majorHAnsi" w:hAnsiTheme="majorHAnsi" w:cstheme="majorHAnsi"/>
              </w:rPr>
              <w:t xml:space="preserve">he shortcut does not work.  </w:t>
            </w:r>
            <w:r w:rsidR="003B15FC" w:rsidRPr="003B15FC">
              <w:rPr>
                <w:rFonts w:asciiTheme="majorHAnsi" w:hAnsiTheme="majorHAnsi" w:cstheme="majorHAnsi"/>
                <w:szCs w:val="24"/>
              </w:rPr>
              <w:t xml:space="preserve">Please </w:t>
            </w:r>
            <w:r w:rsidR="003B15FC">
              <w:rPr>
                <w:rFonts w:asciiTheme="majorHAnsi" w:hAnsiTheme="majorHAnsi" w:cstheme="majorHAnsi"/>
                <w:szCs w:val="24"/>
              </w:rPr>
              <w:t>supply the documents that Blackjack intended to submit using that shortcut.</w:t>
            </w:r>
          </w:p>
        </w:tc>
        <w:tc>
          <w:tcPr>
            <w:tcW w:w="6660" w:type="dxa"/>
            <w:shd w:val="clear" w:color="auto" w:fill="DEEAF6" w:themeFill="accent1" w:themeFillTint="33"/>
          </w:tcPr>
          <w:p w14:paraId="15341090" w14:textId="39AE69FE" w:rsidR="005C7BC1" w:rsidRDefault="3613A743" w:rsidP="005C7BC1">
            <w:r>
              <w:t xml:space="preserve">CORPORATE STRUCTURE ATTACHED. </w:t>
            </w:r>
          </w:p>
        </w:tc>
      </w:tr>
    </w:tbl>
    <w:p w14:paraId="45EDA0FB" w14:textId="48458F4E" w:rsidR="008E1F11" w:rsidRDefault="008E1F11">
      <w:pPr>
        <w:rPr>
          <w:b/>
          <w:smallCaps/>
        </w:rPr>
      </w:pPr>
    </w:p>
    <w:tbl>
      <w:tblPr>
        <w:tblStyle w:val="TableGrid"/>
        <w:tblW w:w="14395" w:type="dxa"/>
        <w:tblLook w:val="04A0" w:firstRow="1" w:lastRow="0" w:firstColumn="1" w:lastColumn="0" w:noHBand="0" w:noVBand="1"/>
      </w:tblPr>
      <w:tblGrid>
        <w:gridCol w:w="1545"/>
        <w:gridCol w:w="6707"/>
        <w:gridCol w:w="6148"/>
      </w:tblGrid>
      <w:tr w:rsidR="008E1F11" w:rsidRPr="00E371B1" w14:paraId="0B3135F9" w14:textId="77777777" w:rsidTr="3613A743">
        <w:trPr>
          <w:tblHeader/>
        </w:trPr>
        <w:tc>
          <w:tcPr>
            <w:tcW w:w="14395" w:type="dxa"/>
            <w:gridSpan w:val="3"/>
            <w:tcBorders>
              <w:top w:val="nil"/>
              <w:left w:val="nil"/>
              <w:bottom w:val="single" w:sz="4" w:space="0" w:color="auto"/>
              <w:right w:val="nil"/>
            </w:tcBorders>
            <w:shd w:val="clear" w:color="auto" w:fill="FFFFFF" w:themeFill="background1"/>
            <w:vAlign w:val="center"/>
          </w:tcPr>
          <w:p w14:paraId="33F65B32" w14:textId="77777777" w:rsidR="008E1F11" w:rsidRDefault="008E1F11" w:rsidP="00C45F5D">
            <w:pPr>
              <w:rPr>
                <w:b/>
                <w:smallCaps/>
                <w:color w:val="FF0000"/>
              </w:rPr>
            </w:pPr>
            <w:r>
              <w:rPr>
                <w:b/>
                <w:smallCaps/>
                <w:color w:val="FF0000"/>
              </w:rPr>
              <w:t>Attachment F</w:t>
            </w:r>
            <w:r w:rsidRPr="00B03739">
              <w:rPr>
                <w:b/>
                <w:smallCaps/>
                <w:color w:val="FF0000"/>
              </w:rPr>
              <w:t xml:space="preserve"> </w:t>
            </w:r>
            <w:r>
              <w:rPr>
                <w:b/>
                <w:smallCaps/>
                <w:color w:val="FF0000"/>
              </w:rPr>
              <w:t>–</w:t>
            </w:r>
            <w:r w:rsidRPr="00B03739">
              <w:rPr>
                <w:b/>
                <w:smallCaps/>
                <w:color w:val="FF0000"/>
              </w:rPr>
              <w:t xml:space="preserve"> </w:t>
            </w:r>
            <w:r>
              <w:rPr>
                <w:b/>
                <w:smallCaps/>
                <w:color w:val="FF0000"/>
              </w:rPr>
              <w:t xml:space="preserve">Technical Proposal </w:t>
            </w:r>
          </w:p>
          <w:tbl>
            <w:tblPr>
              <w:tblStyle w:val="TableGrid"/>
              <w:tblW w:w="14395" w:type="dxa"/>
              <w:tblLook w:val="04A0" w:firstRow="1" w:lastRow="0" w:firstColumn="1" w:lastColumn="0" w:noHBand="0" w:noVBand="1"/>
            </w:tblPr>
            <w:tblGrid>
              <w:gridCol w:w="1075"/>
              <w:gridCol w:w="6660"/>
              <w:gridCol w:w="6660"/>
            </w:tblGrid>
            <w:tr w:rsidR="00422F9F" w:rsidRPr="00E371B1" w14:paraId="31C915A8" w14:textId="77777777" w:rsidTr="3613A743">
              <w:trPr>
                <w:tblHeader/>
              </w:trPr>
              <w:tc>
                <w:tcPr>
                  <w:tcW w:w="1075" w:type="dxa"/>
                  <w:tcBorders>
                    <w:top w:val="single" w:sz="4" w:space="0" w:color="auto"/>
                  </w:tcBorders>
                  <w:shd w:val="clear" w:color="auto" w:fill="262626" w:themeFill="text1" w:themeFillTint="D9"/>
                  <w:vAlign w:val="center"/>
                </w:tcPr>
                <w:p w14:paraId="5909C94C" w14:textId="77777777" w:rsidR="00422F9F" w:rsidRPr="00E371B1" w:rsidRDefault="00422F9F" w:rsidP="00422F9F">
                  <w:pPr>
                    <w:jc w:val="center"/>
                    <w:rPr>
                      <w:b/>
                      <w:smallCaps/>
                    </w:rPr>
                  </w:pPr>
                  <w:r w:rsidRPr="00E371B1">
                    <w:rPr>
                      <w:b/>
                      <w:smallCaps/>
                    </w:rPr>
                    <w:t>Section Number</w:t>
                  </w:r>
                </w:p>
              </w:tc>
              <w:tc>
                <w:tcPr>
                  <w:tcW w:w="6660" w:type="dxa"/>
                  <w:tcBorders>
                    <w:top w:val="single" w:sz="4" w:space="0" w:color="auto"/>
                  </w:tcBorders>
                  <w:shd w:val="clear" w:color="auto" w:fill="262626" w:themeFill="text1" w:themeFillTint="D9"/>
                  <w:vAlign w:val="center"/>
                </w:tcPr>
                <w:p w14:paraId="13EAE5C1" w14:textId="0B7924D6" w:rsidR="00422F9F" w:rsidRDefault="00422F9F" w:rsidP="00422F9F">
                  <w:pPr>
                    <w:jc w:val="center"/>
                    <w:rPr>
                      <w:b/>
                      <w:smallCaps/>
                    </w:rPr>
                  </w:pPr>
                </w:p>
                <w:p w14:paraId="677C4DC3" w14:textId="72CC6997" w:rsidR="00422F9F" w:rsidRPr="00E371B1" w:rsidRDefault="00422F9F" w:rsidP="00422F9F">
                  <w:pPr>
                    <w:jc w:val="center"/>
                    <w:rPr>
                      <w:b/>
                      <w:smallCaps/>
                    </w:rPr>
                  </w:pPr>
                  <w:r>
                    <w:rPr>
                      <w:b/>
                      <w:smallCaps/>
                    </w:rPr>
                    <w:t>Cl</w:t>
                  </w:r>
                  <w:r w:rsidRPr="00E371B1">
                    <w:rPr>
                      <w:b/>
                      <w:smallCaps/>
                    </w:rPr>
                    <w:t>arification Question</w:t>
                  </w:r>
                </w:p>
              </w:tc>
              <w:tc>
                <w:tcPr>
                  <w:tcW w:w="6660" w:type="dxa"/>
                  <w:tcBorders>
                    <w:top w:val="single" w:sz="4" w:space="0" w:color="auto"/>
                  </w:tcBorders>
                  <w:shd w:val="clear" w:color="auto" w:fill="262626" w:themeFill="text1" w:themeFillTint="D9"/>
                  <w:vAlign w:val="center"/>
                </w:tcPr>
                <w:p w14:paraId="26C013EC" w14:textId="77777777" w:rsidR="00422F9F" w:rsidRPr="00E371B1" w:rsidRDefault="00422F9F" w:rsidP="00422F9F">
                  <w:pPr>
                    <w:jc w:val="center"/>
                    <w:rPr>
                      <w:b/>
                      <w:smallCaps/>
                    </w:rPr>
                  </w:pPr>
                  <w:r w:rsidRPr="00E371B1">
                    <w:rPr>
                      <w:b/>
                      <w:smallCaps/>
                    </w:rPr>
                    <w:t>Respondent Response</w:t>
                  </w:r>
                </w:p>
              </w:tc>
            </w:tr>
            <w:tr w:rsidR="00422F9F" w:rsidRPr="00E371B1" w14:paraId="70188A7C" w14:textId="77777777" w:rsidTr="3613A743">
              <w:tc>
                <w:tcPr>
                  <w:tcW w:w="1075" w:type="dxa"/>
                </w:tcPr>
                <w:p w14:paraId="0A50AE78" w14:textId="3C1DD608" w:rsidR="00422F9F" w:rsidRDefault="00422F9F" w:rsidP="00422F9F">
                  <w:r>
                    <w:t>2.4.1</w:t>
                  </w:r>
                </w:p>
              </w:tc>
              <w:tc>
                <w:tcPr>
                  <w:tcW w:w="6660" w:type="dxa"/>
                </w:tcPr>
                <w:p w14:paraId="1C627DEC" w14:textId="390AB2B5" w:rsidR="00422F9F" w:rsidRDefault="00422F9F" w:rsidP="00422F9F">
                  <w:pPr>
                    <w:spacing w:after="160" w:line="256" w:lineRule="auto"/>
                    <w:rPr>
                      <w:rStyle w:val="StyleTimesNewRomanBlack"/>
                      <w:rFonts w:cs="Calibri"/>
                    </w:rPr>
                  </w:pPr>
                  <w:r>
                    <w:rPr>
                      <w:rFonts w:cs="Calibri"/>
                      <w:szCs w:val="24"/>
                    </w:rPr>
                    <w:t>Page 2 of 7:  Respondent</w:t>
                  </w:r>
                  <w:r>
                    <w:rPr>
                      <w:rStyle w:val="StyleTimesNewRomanBlack"/>
                      <w:rFonts w:cs="Calibri"/>
                    </w:rPr>
                    <w:t xml:space="preserve"> shall provide inventory components for all three size and conversion charts from female to male sizing.  Categories: common sizes, special sizes, and special-order sizes.  See </w:t>
                  </w:r>
                  <w:r>
                    <w:rPr>
                      <w:rStyle w:val="StyleTimesNewRomanBlack"/>
                      <w:rFonts w:cs="Calibri"/>
                      <w:b/>
                    </w:rPr>
                    <w:t>Attachment J</w:t>
                  </w:r>
                  <w:r>
                    <w:rPr>
                      <w:rStyle w:val="StyleTimesNewRomanBlack"/>
                      <w:rFonts w:cs="Calibri"/>
                    </w:rPr>
                    <w:t xml:space="preserve"> for more information on size category specifications.</w:t>
                  </w:r>
                </w:p>
                <w:p w14:paraId="6A76A756" w14:textId="525835EC" w:rsidR="00422F9F" w:rsidRDefault="00422F9F" w:rsidP="00422F9F">
                  <w:pPr>
                    <w:spacing w:after="160" w:line="256" w:lineRule="auto"/>
                    <w:rPr>
                      <w:rStyle w:val="StyleTimesNewRomanBlack"/>
                      <w:rFonts w:ascii="Calibri" w:hAnsi="Calibri" w:cs="Calibri"/>
                      <w:color w:val="auto"/>
                    </w:rPr>
                  </w:pPr>
                  <w:r>
                    <w:rPr>
                      <w:rStyle w:val="StyleTimesNewRomanBlack"/>
                      <w:rFonts w:ascii="Calibri" w:hAnsi="Calibri" w:cs="Calibri"/>
                      <w:color w:val="auto"/>
                    </w:rPr>
                    <w:t>D</w:t>
                  </w:r>
                  <w:r>
                    <w:rPr>
                      <w:rStyle w:val="StyleTimesNewRomanBlack"/>
                      <w:rFonts w:cs="Calibri"/>
                    </w:rPr>
                    <w:t>oes Blackjack agree to provide the items listed above?</w:t>
                  </w:r>
                </w:p>
                <w:p w14:paraId="1A621D3B" w14:textId="4C3EB2E9" w:rsidR="00422F9F" w:rsidRDefault="00422F9F" w:rsidP="00422F9F"/>
              </w:tc>
              <w:tc>
                <w:tcPr>
                  <w:tcW w:w="6660" w:type="dxa"/>
                  <w:shd w:val="clear" w:color="auto" w:fill="DEEAF6" w:themeFill="accent1" w:themeFillTint="33"/>
                </w:tcPr>
                <w:p w14:paraId="4108224C" w14:textId="197C9C67" w:rsidR="00422F9F" w:rsidRPr="00E371B1" w:rsidRDefault="3613A743" w:rsidP="00422F9F">
                  <w:r>
                    <w:t>YES</w:t>
                  </w:r>
                </w:p>
              </w:tc>
            </w:tr>
            <w:tr w:rsidR="002E75F5" w:rsidRPr="00E371B1" w14:paraId="7C402DAC" w14:textId="77777777" w:rsidTr="3613A743">
              <w:tc>
                <w:tcPr>
                  <w:tcW w:w="1075" w:type="dxa"/>
                </w:tcPr>
                <w:p w14:paraId="78859ED2" w14:textId="6C0339A1" w:rsidR="002E75F5" w:rsidRDefault="002E75F5" w:rsidP="00422F9F"/>
              </w:tc>
              <w:tc>
                <w:tcPr>
                  <w:tcW w:w="6660" w:type="dxa"/>
                </w:tcPr>
                <w:p w14:paraId="48ED8F67" w14:textId="0E1F0F1E" w:rsidR="002E75F5" w:rsidRDefault="002E75F5" w:rsidP="00422F9F"/>
              </w:tc>
              <w:tc>
                <w:tcPr>
                  <w:tcW w:w="6660" w:type="dxa"/>
                  <w:shd w:val="clear" w:color="auto" w:fill="DEEAF6" w:themeFill="accent1" w:themeFillTint="33"/>
                </w:tcPr>
                <w:p w14:paraId="5CA3354A" w14:textId="77777777" w:rsidR="002E75F5" w:rsidRPr="00E371B1" w:rsidRDefault="002E75F5" w:rsidP="00422F9F"/>
              </w:tc>
            </w:tr>
          </w:tbl>
          <w:p w14:paraId="071AE5B1" w14:textId="77777777" w:rsidR="00422F9F" w:rsidRDefault="00422F9F" w:rsidP="00C45F5D">
            <w:pPr>
              <w:rPr>
                <w:b/>
                <w:smallCaps/>
                <w:color w:val="FF0000"/>
              </w:rPr>
            </w:pPr>
          </w:p>
          <w:p w14:paraId="12C0708B" w14:textId="77777777" w:rsidR="00422F9F" w:rsidRDefault="00422F9F" w:rsidP="00C45F5D">
            <w:pPr>
              <w:rPr>
                <w:b/>
                <w:smallCaps/>
                <w:color w:val="FF0000"/>
              </w:rPr>
            </w:pPr>
          </w:p>
          <w:p w14:paraId="28A98A73" w14:textId="2DEA5B61" w:rsidR="00422F9F" w:rsidRPr="00B03739" w:rsidRDefault="00422F9F" w:rsidP="00C45F5D">
            <w:pPr>
              <w:rPr>
                <w:b/>
                <w:smallCaps/>
                <w:color w:val="FF0000"/>
              </w:rPr>
            </w:pPr>
          </w:p>
        </w:tc>
      </w:tr>
      <w:tr w:rsidR="008E1F11" w:rsidRPr="00E371B1" w14:paraId="11D3A672" w14:textId="77777777" w:rsidTr="3613A743">
        <w:trPr>
          <w:tblHeader/>
        </w:trPr>
        <w:tc>
          <w:tcPr>
            <w:tcW w:w="1075" w:type="dxa"/>
            <w:tcBorders>
              <w:top w:val="single" w:sz="4" w:space="0" w:color="auto"/>
            </w:tcBorders>
            <w:shd w:val="clear" w:color="auto" w:fill="262626" w:themeFill="text1" w:themeFillTint="D9"/>
            <w:vAlign w:val="center"/>
          </w:tcPr>
          <w:p w14:paraId="79F03CEA" w14:textId="77777777" w:rsidR="008E1F11" w:rsidRPr="00E371B1" w:rsidRDefault="008E1F11" w:rsidP="00C45F5D">
            <w:pPr>
              <w:jc w:val="center"/>
              <w:rPr>
                <w:b/>
                <w:smallCaps/>
              </w:rPr>
            </w:pPr>
            <w:r w:rsidRPr="00E371B1">
              <w:rPr>
                <w:b/>
                <w:smallCaps/>
              </w:rPr>
              <w:t>Section Number</w:t>
            </w:r>
          </w:p>
        </w:tc>
        <w:tc>
          <w:tcPr>
            <w:tcW w:w="6660" w:type="dxa"/>
            <w:tcBorders>
              <w:top w:val="single" w:sz="4" w:space="0" w:color="auto"/>
            </w:tcBorders>
            <w:shd w:val="clear" w:color="auto" w:fill="262626" w:themeFill="text1" w:themeFillTint="D9"/>
            <w:vAlign w:val="center"/>
          </w:tcPr>
          <w:p w14:paraId="105DC456" w14:textId="77777777" w:rsidR="008E1F11" w:rsidRPr="00E371B1" w:rsidRDefault="008E1F11" w:rsidP="00C45F5D">
            <w:pPr>
              <w:jc w:val="center"/>
              <w:rPr>
                <w:b/>
                <w:smallCaps/>
              </w:rPr>
            </w:pPr>
            <w:r w:rsidRPr="00E371B1">
              <w:rPr>
                <w:b/>
                <w:smallCaps/>
              </w:rPr>
              <w:t>Clarification Question</w:t>
            </w:r>
          </w:p>
        </w:tc>
        <w:tc>
          <w:tcPr>
            <w:tcW w:w="6660" w:type="dxa"/>
            <w:tcBorders>
              <w:top w:val="single" w:sz="4" w:space="0" w:color="auto"/>
            </w:tcBorders>
            <w:shd w:val="clear" w:color="auto" w:fill="262626" w:themeFill="text1" w:themeFillTint="D9"/>
            <w:vAlign w:val="center"/>
          </w:tcPr>
          <w:p w14:paraId="7841DD4C" w14:textId="77777777" w:rsidR="008E1F11" w:rsidRPr="00E371B1" w:rsidRDefault="008E1F11" w:rsidP="00C45F5D">
            <w:pPr>
              <w:jc w:val="center"/>
              <w:rPr>
                <w:b/>
                <w:smallCaps/>
              </w:rPr>
            </w:pPr>
            <w:r w:rsidRPr="00E371B1">
              <w:rPr>
                <w:b/>
                <w:smallCaps/>
              </w:rPr>
              <w:t>Respondent Response</w:t>
            </w:r>
          </w:p>
        </w:tc>
      </w:tr>
      <w:tr w:rsidR="008E1F11" w:rsidRPr="00E371B1" w14:paraId="576F59E2" w14:textId="77777777" w:rsidTr="3613A743">
        <w:tc>
          <w:tcPr>
            <w:tcW w:w="1075" w:type="dxa"/>
          </w:tcPr>
          <w:p w14:paraId="7678DCE9" w14:textId="01A1F6EE" w:rsidR="008E1F11" w:rsidRDefault="0023019F" w:rsidP="00C45F5D">
            <w:r>
              <w:t>2.4.2</w:t>
            </w:r>
          </w:p>
        </w:tc>
        <w:tc>
          <w:tcPr>
            <w:tcW w:w="6660" w:type="dxa"/>
          </w:tcPr>
          <w:p w14:paraId="07029B32" w14:textId="46734C1E" w:rsidR="008E1F11" w:rsidRPr="004D18D2" w:rsidRDefault="00DC17EE" w:rsidP="00C45F5D">
            <w:pPr>
              <w:rPr>
                <w:rFonts w:asciiTheme="majorHAnsi" w:hAnsiTheme="majorHAnsi" w:cstheme="majorHAnsi"/>
              </w:rPr>
            </w:pPr>
            <w:r>
              <w:rPr>
                <w:rFonts w:asciiTheme="majorHAnsi" w:hAnsiTheme="majorHAnsi" w:cstheme="majorHAnsi"/>
              </w:rPr>
              <w:t xml:space="preserve">Part of </w:t>
            </w:r>
            <w:r w:rsidR="004D18D2" w:rsidRPr="004D18D2">
              <w:rPr>
                <w:rFonts w:asciiTheme="majorHAnsi" w:hAnsiTheme="majorHAnsi" w:cstheme="majorHAnsi"/>
              </w:rPr>
              <w:t xml:space="preserve">Blackjack’s response included: </w:t>
            </w:r>
          </w:p>
          <w:p w14:paraId="08A47CB8" w14:textId="77777777" w:rsidR="00771570" w:rsidRPr="00CE05AC" w:rsidRDefault="004D18D2" w:rsidP="004D18D2">
            <w:pPr>
              <w:ind w:left="720"/>
              <w:rPr>
                <w:rStyle w:val="StyleTimesNewRomanBlack"/>
                <w:rFonts w:asciiTheme="majorHAnsi" w:hAnsiTheme="majorHAnsi" w:cstheme="majorHAnsi"/>
                <w:i/>
                <w:iCs/>
                <w:sz w:val="22"/>
                <w:szCs w:val="22"/>
              </w:rPr>
            </w:pPr>
            <w:r w:rsidRPr="00CE05AC">
              <w:rPr>
                <w:rFonts w:asciiTheme="majorHAnsi" w:hAnsiTheme="majorHAnsi" w:cstheme="majorHAnsi"/>
                <w:i/>
                <w:iCs/>
                <w:sz w:val="22"/>
                <w:szCs w:val="22"/>
              </w:rPr>
              <w:t>“</w:t>
            </w:r>
            <w:r w:rsidRPr="00CE05AC">
              <w:rPr>
                <w:rStyle w:val="StyleTimesNewRomanBlack"/>
                <w:rFonts w:asciiTheme="majorHAnsi" w:hAnsiTheme="majorHAnsi" w:cstheme="majorHAnsi"/>
                <w:i/>
                <w:iCs/>
                <w:sz w:val="22"/>
                <w:szCs w:val="22"/>
              </w:rPr>
              <w:t xml:space="preserve">Blackjack Uniforms Inc. will immediately process all orders based on a thorough check list ordering process:  </w:t>
            </w:r>
          </w:p>
          <w:p w14:paraId="1EABB560" w14:textId="24205D35" w:rsidR="004D18D2" w:rsidRPr="00CE05AC" w:rsidRDefault="004D18D2" w:rsidP="004D18D2">
            <w:pPr>
              <w:ind w:left="720"/>
              <w:rPr>
                <w:rStyle w:val="StyleTimesNewRomanBlack"/>
                <w:rFonts w:asciiTheme="majorHAnsi" w:hAnsiTheme="majorHAnsi" w:cstheme="majorHAnsi"/>
                <w:i/>
                <w:iCs/>
                <w:sz w:val="22"/>
                <w:szCs w:val="22"/>
              </w:rPr>
            </w:pPr>
            <w:r w:rsidRPr="00CE05AC">
              <w:rPr>
                <w:rStyle w:val="StyleTimesNewRomanBlack"/>
                <w:rFonts w:asciiTheme="majorHAnsi" w:hAnsiTheme="majorHAnsi" w:cstheme="majorHAnsi"/>
                <w:i/>
                <w:iCs/>
                <w:sz w:val="22"/>
                <w:szCs w:val="22"/>
              </w:rPr>
              <w:t xml:space="preserve">1)  Transfer the Purchase Order from the State to a Custom Made Excel Spreadsheet based on the products requested, line item numbers, date received, due dates, shipping requirements and </w:t>
            </w:r>
            <w:r w:rsidRPr="00CE05AC">
              <w:rPr>
                <w:rStyle w:val="StyleTimesNewRomanBlack"/>
                <w:rFonts w:asciiTheme="majorHAnsi" w:hAnsiTheme="majorHAnsi" w:cstheme="majorHAnsi"/>
                <w:i/>
                <w:iCs/>
                <w:sz w:val="22"/>
                <w:szCs w:val="22"/>
                <w:highlight w:val="yellow"/>
              </w:rPr>
              <w:t>future speculation of other smaller State Entities that might benefit from cost saving shipping costs and bulk orders</w:t>
            </w:r>
            <w:r w:rsidRPr="00CE05AC">
              <w:rPr>
                <w:rStyle w:val="StyleTimesNewRomanBlack"/>
                <w:rFonts w:asciiTheme="majorHAnsi" w:hAnsiTheme="majorHAnsi" w:cstheme="majorHAnsi"/>
                <w:i/>
                <w:iCs/>
                <w:sz w:val="22"/>
                <w:szCs w:val="22"/>
              </w:rPr>
              <w:t>.”</w:t>
            </w:r>
          </w:p>
          <w:p w14:paraId="15BFC28B" w14:textId="43958789" w:rsidR="004D18D2" w:rsidRDefault="004D18D2" w:rsidP="00C45F5D">
            <w:r w:rsidRPr="004D18D2">
              <w:rPr>
                <w:rFonts w:asciiTheme="majorHAnsi" w:hAnsiTheme="majorHAnsi" w:cstheme="majorHAnsi"/>
              </w:rPr>
              <w:t>Please provide clarification of the highlighted statement.</w:t>
            </w:r>
          </w:p>
        </w:tc>
        <w:tc>
          <w:tcPr>
            <w:tcW w:w="6660" w:type="dxa"/>
            <w:shd w:val="clear" w:color="auto" w:fill="DEEAF6" w:themeFill="accent1" w:themeFillTint="33"/>
          </w:tcPr>
          <w:p w14:paraId="7897178C" w14:textId="210A6F77" w:rsidR="008E1F11" w:rsidRPr="00E371B1" w:rsidRDefault="3613A743" w:rsidP="00C45F5D">
            <w:r>
              <w:t xml:space="preserve">Any other State entity can order </w:t>
            </w:r>
            <w:proofErr w:type="gramStart"/>
            <w:r>
              <w:t>off of</w:t>
            </w:r>
            <w:proofErr w:type="gramEnd"/>
            <w:r>
              <w:t xml:space="preserve"> the IDOC QPA at the IDOC Pricing with free shipping. </w:t>
            </w:r>
          </w:p>
        </w:tc>
      </w:tr>
      <w:tr w:rsidR="008E1F11" w:rsidRPr="00E371B1" w14:paraId="707D89FB" w14:textId="77777777" w:rsidTr="3613A743">
        <w:tc>
          <w:tcPr>
            <w:tcW w:w="1075" w:type="dxa"/>
          </w:tcPr>
          <w:p w14:paraId="65D80F09" w14:textId="2C39B065" w:rsidR="008E1F11" w:rsidRDefault="00CE05AC" w:rsidP="00C45F5D">
            <w:r>
              <w:t>2.4.2</w:t>
            </w:r>
          </w:p>
        </w:tc>
        <w:tc>
          <w:tcPr>
            <w:tcW w:w="6660" w:type="dxa"/>
          </w:tcPr>
          <w:p w14:paraId="2C7EE034" w14:textId="33DF3663" w:rsidR="008E1F11" w:rsidRPr="00CE05AC" w:rsidRDefault="00CE05AC" w:rsidP="00C45F5D">
            <w:pPr>
              <w:rPr>
                <w:rFonts w:asciiTheme="majorHAnsi" w:hAnsiTheme="majorHAnsi" w:cstheme="majorHAnsi"/>
              </w:rPr>
            </w:pPr>
            <w:r w:rsidRPr="00CE05AC">
              <w:rPr>
                <w:rFonts w:asciiTheme="majorHAnsi" w:hAnsiTheme="majorHAnsi" w:cstheme="majorHAnsi"/>
              </w:rPr>
              <w:t xml:space="preserve">The last two paragraphs of the </w:t>
            </w:r>
            <w:r w:rsidR="00C84AF8">
              <w:rPr>
                <w:rFonts w:asciiTheme="majorHAnsi" w:hAnsiTheme="majorHAnsi" w:cstheme="majorHAnsi"/>
              </w:rPr>
              <w:t>requirement</w:t>
            </w:r>
            <w:r w:rsidRPr="00CE05AC">
              <w:rPr>
                <w:rFonts w:asciiTheme="majorHAnsi" w:hAnsiTheme="majorHAnsi" w:cstheme="majorHAnsi"/>
              </w:rPr>
              <w:t xml:space="preserve"> are as follows:</w:t>
            </w:r>
          </w:p>
          <w:p w14:paraId="1A6BE44A" w14:textId="600F07D7" w:rsidR="00CE05AC" w:rsidRPr="00CE05AC" w:rsidRDefault="00CE05AC" w:rsidP="00CE05AC">
            <w:pPr>
              <w:ind w:left="720"/>
              <w:rPr>
                <w:rFonts w:asciiTheme="majorHAnsi" w:hAnsiTheme="majorHAnsi" w:cstheme="majorHAnsi"/>
                <w:i/>
                <w:iCs/>
                <w:sz w:val="22"/>
                <w:szCs w:val="22"/>
              </w:rPr>
            </w:pPr>
            <w:r w:rsidRPr="00CE05AC">
              <w:rPr>
                <w:rFonts w:asciiTheme="majorHAnsi" w:hAnsiTheme="majorHAnsi" w:cstheme="majorHAnsi"/>
                <w:i/>
                <w:iCs/>
                <w:sz w:val="22"/>
                <w:szCs w:val="22"/>
              </w:rPr>
              <w:t>“The third category, non-stocked Special-Order Sizes, shall consist of sizes that an individual's body measurements require components to be specially tailored made to fit with a professional appearance.  Special Order Sizes shall include maternity uniform apparel.  Respondent shall submit a detailed description for the process and delivery time frame for function of Special-Order Sizes.</w:t>
            </w:r>
          </w:p>
          <w:p w14:paraId="3821A39B" w14:textId="77777777" w:rsidR="00CE05AC" w:rsidRPr="00CE05AC" w:rsidRDefault="00CE05AC" w:rsidP="00CE05AC">
            <w:pPr>
              <w:ind w:left="720"/>
              <w:rPr>
                <w:rFonts w:asciiTheme="majorHAnsi" w:hAnsiTheme="majorHAnsi" w:cstheme="majorHAnsi"/>
                <w:i/>
                <w:iCs/>
                <w:sz w:val="22"/>
                <w:szCs w:val="22"/>
              </w:rPr>
            </w:pPr>
          </w:p>
          <w:p w14:paraId="7D8E380A" w14:textId="2E2ED5E0" w:rsidR="00CE05AC" w:rsidRPr="00CE05AC" w:rsidRDefault="00CE05AC" w:rsidP="00CE05AC">
            <w:pPr>
              <w:ind w:left="720"/>
              <w:rPr>
                <w:rFonts w:asciiTheme="majorHAnsi" w:hAnsiTheme="majorHAnsi" w:cstheme="majorHAnsi"/>
                <w:i/>
                <w:iCs/>
                <w:sz w:val="22"/>
                <w:szCs w:val="22"/>
              </w:rPr>
            </w:pPr>
            <w:r w:rsidRPr="00CE05AC">
              <w:rPr>
                <w:rFonts w:asciiTheme="majorHAnsi" w:hAnsiTheme="majorHAnsi" w:cstheme="majorHAnsi"/>
                <w:i/>
                <w:iCs/>
                <w:sz w:val="22"/>
                <w:szCs w:val="22"/>
              </w:rPr>
              <w:t>Measurement:  The successful Respondent shall ensure a proper fit for all employees.  Upon request by the State, the successful Respondent shall measure/fit employees at no additional cost to the State, to obtain a proper fit for any employee experiencing problems with measuring and proper fit of the uniform items.  Measurements will be performed with twenty (20) calendar days of request.  All costs associated with these measurements and proper fittings are the responsibility of the Respondent.”</w:t>
            </w:r>
          </w:p>
          <w:p w14:paraId="2CC5C79A" w14:textId="09D275A9" w:rsidR="00CE05AC" w:rsidRDefault="00CE05AC" w:rsidP="00C45F5D">
            <w:r w:rsidRPr="00CE05AC">
              <w:rPr>
                <w:rFonts w:asciiTheme="majorHAnsi" w:hAnsiTheme="majorHAnsi" w:cstheme="majorHAnsi"/>
              </w:rPr>
              <w:t>Please confirm you have nothing else to add.</w:t>
            </w:r>
          </w:p>
        </w:tc>
        <w:tc>
          <w:tcPr>
            <w:tcW w:w="6660" w:type="dxa"/>
            <w:shd w:val="clear" w:color="auto" w:fill="DEEAF6" w:themeFill="accent1" w:themeFillTint="33"/>
          </w:tcPr>
          <w:p w14:paraId="3A873809" w14:textId="75E9CEF3" w:rsidR="008E1F11" w:rsidRPr="00E371B1" w:rsidRDefault="3613A743" w:rsidP="00C45F5D">
            <w:r>
              <w:t xml:space="preserve">Confirming Blackjack Uniforms has nothing else to add. </w:t>
            </w:r>
          </w:p>
        </w:tc>
      </w:tr>
      <w:tr w:rsidR="008E1F11" w:rsidRPr="00E371B1" w14:paraId="1624EFEA" w14:textId="77777777" w:rsidTr="3613A743">
        <w:tc>
          <w:tcPr>
            <w:tcW w:w="1075" w:type="dxa"/>
          </w:tcPr>
          <w:p w14:paraId="1B2364C9" w14:textId="4FA101C0" w:rsidR="008E1F11" w:rsidRDefault="007C20FF" w:rsidP="00C45F5D">
            <w:r>
              <w:t>2.4.3</w:t>
            </w:r>
          </w:p>
        </w:tc>
        <w:tc>
          <w:tcPr>
            <w:tcW w:w="6660" w:type="dxa"/>
          </w:tcPr>
          <w:p w14:paraId="216F58C9" w14:textId="77777777" w:rsidR="008E1F11" w:rsidRPr="007C20FF" w:rsidRDefault="007C20FF" w:rsidP="00C45F5D">
            <w:pPr>
              <w:rPr>
                <w:rFonts w:asciiTheme="majorHAnsi" w:hAnsiTheme="majorHAnsi" w:cstheme="majorHAnsi"/>
              </w:rPr>
            </w:pPr>
            <w:r w:rsidRPr="007C20FF">
              <w:rPr>
                <w:rFonts w:asciiTheme="majorHAnsi" w:hAnsiTheme="majorHAnsi" w:cstheme="majorHAnsi"/>
              </w:rPr>
              <w:t xml:space="preserve">Part of Blackjack’s response included: </w:t>
            </w:r>
          </w:p>
          <w:p w14:paraId="24EE2071" w14:textId="77777777" w:rsidR="007C20FF" w:rsidRPr="007C20FF" w:rsidRDefault="007C20FF" w:rsidP="007C20FF">
            <w:pPr>
              <w:ind w:left="720"/>
              <w:rPr>
                <w:rFonts w:asciiTheme="majorHAnsi" w:hAnsiTheme="majorHAnsi" w:cstheme="majorHAnsi"/>
                <w:i/>
                <w:iCs/>
                <w:sz w:val="22"/>
                <w:szCs w:val="22"/>
              </w:rPr>
            </w:pPr>
            <w:r w:rsidRPr="007C20FF">
              <w:rPr>
                <w:rFonts w:asciiTheme="majorHAnsi" w:hAnsiTheme="majorHAnsi" w:cstheme="majorHAnsi"/>
                <w:i/>
                <w:iCs/>
                <w:sz w:val="22"/>
                <w:szCs w:val="22"/>
              </w:rPr>
              <w:t xml:space="preserve">“Point to remember:  It will prove beneficial to the department if Blackjack Uniforms is involved in the </w:t>
            </w:r>
            <w:r w:rsidRPr="007C20FF">
              <w:rPr>
                <w:rFonts w:asciiTheme="majorHAnsi" w:hAnsiTheme="majorHAnsi" w:cstheme="majorHAnsi"/>
                <w:b/>
                <w:bCs/>
                <w:i/>
                <w:iCs/>
                <w:sz w:val="22"/>
                <w:szCs w:val="22"/>
              </w:rPr>
              <w:t>preliminary discussion</w:t>
            </w:r>
            <w:r w:rsidRPr="007C20FF">
              <w:rPr>
                <w:rFonts w:asciiTheme="majorHAnsi" w:hAnsiTheme="majorHAnsi" w:cstheme="majorHAnsi"/>
                <w:i/>
                <w:iCs/>
                <w:sz w:val="22"/>
                <w:szCs w:val="22"/>
              </w:rPr>
              <w:t xml:space="preserve"> on changing of work and selection in order that manufacturer can be </w:t>
            </w:r>
            <w:proofErr w:type="gramStart"/>
            <w:r w:rsidRPr="007C20FF">
              <w:rPr>
                <w:rFonts w:asciiTheme="majorHAnsi" w:hAnsiTheme="majorHAnsi" w:cstheme="majorHAnsi"/>
                <w:i/>
                <w:iCs/>
                <w:sz w:val="22"/>
                <w:szCs w:val="22"/>
              </w:rPr>
              <w:t>contacted</w:t>
            </w:r>
            <w:proofErr w:type="gramEnd"/>
            <w:r w:rsidRPr="007C20FF">
              <w:rPr>
                <w:rFonts w:asciiTheme="majorHAnsi" w:hAnsiTheme="majorHAnsi" w:cstheme="majorHAnsi"/>
                <w:i/>
                <w:iCs/>
                <w:sz w:val="22"/>
                <w:szCs w:val="22"/>
              </w:rPr>
              <w:t xml:space="preserve"> and availability is determined.  Once the product is selected and the above method is followed, change should take place within 90 days of first purchase.”</w:t>
            </w:r>
          </w:p>
          <w:p w14:paraId="37DE3D93" w14:textId="06AA12C6" w:rsidR="007C20FF" w:rsidRPr="007C20FF" w:rsidRDefault="007C20FF" w:rsidP="007C20FF">
            <w:pPr>
              <w:rPr>
                <w:rFonts w:asciiTheme="majorHAnsi" w:hAnsiTheme="majorHAnsi" w:cstheme="majorHAnsi"/>
              </w:rPr>
            </w:pPr>
            <w:r w:rsidRPr="007C20FF">
              <w:rPr>
                <w:rFonts w:asciiTheme="majorHAnsi" w:hAnsiTheme="majorHAnsi" w:cstheme="majorHAnsi"/>
                <w:szCs w:val="24"/>
              </w:rPr>
              <w:t xml:space="preserve">Does the </w:t>
            </w:r>
            <w:proofErr w:type="gramStart"/>
            <w:r w:rsidRPr="007C20FF">
              <w:rPr>
                <w:rFonts w:asciiTheme="majorHAnsi" w:hAnsiTheme="majorHAnsi" w:cstheme="majorHAnsi"/>
                <w:szCs w:val="24"/>
              </w:rPr>
              <w:t>90 day</w:t>
            </w:r>
            <w:proofErr w:type="gramEnd"/>
            <w:r w:rsidRPr="007C20FF">
              <w:rPr>
                <w:rFonts w:asciiTheme="majorHAnsi" w:hAnsiTheme="majorHAnsi" w:cstheme="majorHAnsi"/>
                <w:szCs w:val="24"/>
              </w:rPr>
              <w:t xml:space="preserve"> time period include the delivery of samples and is this an exact time frame or an estimate?  </w:t>
            </w:r>
          </w:p>
        </w:tc>
        <w:tc>
          <w:tcPr>
            <w:tcW w:w="6660" w:type="dxa"/>
            <w:shd w:val="clear" w:color="auto" w:fill="DEEAF6" w:themeFill="accent1" w:themeFillTint="33"/>
          </w:tcPr>
          <w:p w14:paraId="63ECFFF9" w14:textId="0414D718" w:rsidR="008E1F11" w:rsidRPr="00E371B1" w:rsidRDefault="3613A743" w:rsidP="00C45F5D">
            <w:r>
              <w:t xml:space="preserve">No, it will take 90 days to make sample of custom made products; after sample is approve we can only estimate when delivery </w:t>
            </w:r>
            <w:proofErr w:type="gramStart"/>
            <w:r>
              <w:t>is  made</w:t>
            </w:r>
            <w:proofErr w:type="gramEnd"/>
            <w:r>
              <w:t xml:space="preserve">. </w:t>
            </w:r>
          </w:p>
        </w:tc>
      </w:tr>
      <w:tr w:rsidR="00CE05AC" w:rsidRPr="00E371B1" w14:paraId="578D768D" w14:textId="77777777" w:rsidTr="3613A743">
        <w:tc>
          <w:tcPr>
            <w:tcW w:w="1075" w:type="dxa"/>
          </w:tcPr>
          <w:p w14:paraId="1467B579" w14:textId="189890A8" w:rsidR="00CE05AC" w:rsidRDefault="008A59B6" w:rsidP="00C45F5D">
            <w:r>
              <w:t>2.4.6</w:t>
            </w:r>
          </w:p>
        </w:tc>
        <w:tc>
          <w:tcPr>
            <w:tcW w:w="6660" w:type="dxa"/>
          </w:tcPr>
          <w:p w14:paraId="654E559B" w14:textId="2636CC75" w:rsidR="00CE05AC" w:rsidRPr="008A59B6" w:rsidRDefault="008A59B6" w:rsidP="00C45F5D">
            <w:pPr>
              <w:rPr>
                <w:rFonts w:asciiTheme="majorHAnsi" w:hAnsiTheme="majorHAnsi" w:cstheme="majorHAnsi"/>
              </w:rPr>
            </w:pPr>
            <w:r w:rsidRPr="008A59B6">
              <w:rPr>
                <w:rFonts w:asciiTheme="majorHAnsi" w:hAnsiTheme="majorHAnsi" w:cstheme="majorHAnsi"/>
              </w:rPr>
              <w:t>Part of the requirement of this question is:</w:t>
            </w:r>
          </w:p>
          <w:p w14:paraId="21528BD6" w14:textId="68172693" w:rsidR="008A59B6" w:rsidRPr="008A59B6" w:rsidRDefault="008A59B6" w:rsidP="008A59B6">
            <w:pPr>
              <w:spacing w:after="160" w:line="256" w:lineRule="auto"/>
              <w:ind w:left="720"/>
              <w:rPr>
                <w:rFonts w:asciiTheme="majorHAnsi" w:hAnsiTheme="majorHAnsi" w:cstheme="majorHAnsi"/>
                <w:i/>
                <w:iCs/>
                <w:szCs w:val="24"/>
              </w:rPr>
            </w:pPr>
            <w:r w:rsidRPr="008A59B6">
              <w:rPr>
                <w:rFonts w:asciiTheme="majorHAnsi" w:hAnsiTheme="majorHAnsi" w:cstheme="majorHAnsi"/>
                <w:i/>
                <w:iCs/>
                <w:szCs w:val="24"/>
              </w:rPr>
              <w:t>“The successful Respondent(s) shall be required to carry a minimum of 4 months inventory in standard sizes of items specific by the Indiana Department of Correction (IDOC).”</w:t>
            </w:r>
          </w:p>
          <w:p w14:paraId="69A9ACAF" w14:textId="2C282BB7" w:rsidR="008A59B6" w:rsidRPr="008A59B6" w:rsidRDefault="008A59B6" w:rsidP="00C45F5D">
            <w:pPr>
              <w:rPr>
                <w:rFonts w:asciiTheme="majorHAnsi" w:hAnsiTheme="majorHAnsi" w:cstheme="majorHAnsi"/>
              </w:rPr>
            </w:pPr>
            <w:r w:rsidRPr="008A59B6">
              <w:rPr>
                <w:rFonts w:asciiTheme="majorHAnsi" w:hAnsiTheme="majorHAnsi" w:cstheme="majorHAnsi"/>
                <w:szCs w:val="24"/>
              </w:rPr>
              <w:t xml:space="preserve">Is </w:t>
            </w:r>
            <w:proofErr w:type="spellStart"/>
            <w:r w:rsidRPr="008A59B6">
              <w:rPr>
                <w:rFonts w:asciiTheme="majorHAnsi" w:hAnsiTheme="majorHAnsi" w:cstheme="majorHAnsi"/>
                <w:szCs w:val="24"/>
              </w:rPr>
              <w:t>BlackJack</w:t>
            </w:r>
            <w:proofErr w:type="spellEnd"/>
            <w:r w:rsidRPr="008A59B6">
              <w:rPr>
                <w:rFonts w:asciiTheme="majorHAnsi" w:hAnsiTheme="majorHAnsi" w:cstheme="majorHAnsi"/>
                <w:szCs w:val="24"/>
              </w:rPr>
              <w:t xml:space="preserve"> agreeing to hold a </w:t>
            </w:r>
            <w:proofErr w:type="gramStart"/>
            <w:r w:rsidRPr="008A59B6">
              <w:rPr>
                <w:rFonts w:asciiTheme="majorHAnsi" w:hAnsiTheme="majorHAnsi" w:cstheme="majorHAnsi"/>
                <w:szCs w:val="24"/>
              </w:rPr>
              <w:t>4 month</w:t>
            </w:r>
            <w:proofErr w:type="gramEnd"/>
            <w:r w:rsidRPr="008A59B6">
              <w:rPr>
                <w:rFonts w:asciiTheme="majorHAnsi" w:hAnsiTheme="majorHAnsi" w:cstheme="majorHAnsi"/>
                <w:szCs w:val="24"/>
              </w:rPr>
              <w:t xml:space="preserve"> inventory or the manufacture?</w:t>
            </w:r>
          </w:p>
        </w:tc>
        <w:tc>
          <w:tcPr>
            <w:tcW w:w="6660" w:type="dxa"/>
            <w:shd w:val="clear" w:color="auto" w:fill="DEEAF6" w:themeFill="accent1" w:themeFillTint="33"/>
          </w:tcPr>
          <w:p w14:paraId="2D52AB96" w14:textId="4F837469" w:rsidR="00CE05AC" w:rsidRPr="00E371B1" w:rsidRDefault="3613A743" w:rsidP="00C45F5D">
            <w:r>
              <w:t xml:space="preserve">Inventory to be held by manufacturer based on IDOC projections. </w:t>
            </w:r>
          </w:p>
        </w:tc>
      </w:tr>
      <w:tr w:rsidR="00CE05AC" w:rsidRPr="00E371B1" w14:paraId="1E7E2025" w14:textId="77777777" w:rsidTr="3613A743">
        <w:tc>
          <w:tcPr>
            <w:tcW w:w="1075" w:type="dxa"/>
          </w:tcPr>
          <w:p w14:paraId="4AAB4ABE" w14:textId="400A3493" w:rsidR="00CE05AC" w:rsidRDefault="00AD3DD0" w:rsidP="00C45F5D">
            <w:r>
              <w:t>2.4.7</w:t>
            </w:r>
          </w:p>
        </w:tc>
        <w:tc>
          <w:tcPr>
            <w:tcW w:w="6660" w:type="dxa"/>
          </w:tcPr>
          <w:p w14:paraId="6A1442E8" w14:textId="77777777" w:rsidR="00AD3DD0" w:rsidRDefault="00AD3DD0" w:rsidP="00C45F5D">
            <w:pPr>
              <w:rPr>
                <w:rFonts w:asciiTheme="majorHAnsi" w:hAnsiTheme="majorHAnsi" w:cstheme="majorHAnsi"/>
              </w:rPr>
            </w:pPr>
            <w:r w:rsidRPr="00AD3DD0">
              <w:rPr>
                <w:rFonts w:asciiTheme="majorHAnsi" w:hAnsiTheme="majorHAnsi" w:cstheme="majorHAnsi"/>
              </w:rPr>
              <w:t xml:space="preserve">Part of the question asked that Respondents include </w:t>
            </w:r>
            <w:r>
              <w:rPr>
                <w:rFonts w:asciiTheme="majorHAnsi" w:hAnsiTheme="majorHAnsi" w:cstheme="majorHAnsi"/>
              </w:rPr>
              <w:t xml:space="preserve">a </w:t>
            </w:r>
            <w:r w:rsidRPr="00AD3DD0">
              <w:rPr>
                <w:rFonts w:asciiTheme="majorHAnsi" w:hAnsiTheme="majorHAnsi" w:cstheme="majorHAnsi"/>
              </w:rPr>
              <w:t xml:space="preserve">timeline for transferring responsibilities for the program.  </w:t>
            </w:r>
          </w:p>
          <w:p w14:paraId="7EFE9C1A" w14:textId="4D4EFB87" w:rsidR="00AD3DD0" w:rsidRDefault="00AD3DD0" w:rsidP="00C45F5D">
            <w:pPr>
              <w:rPr>
                <w:rFonts w:asciiTheme="majorHAnsi" w:hAnsiTheme="majorHAnsi" w:cstheme="majorHAnsi"/>
              </w:rPr>
            </w:pPr>
            <w:r>
              <w:rPr>
                <w:rFonts w:asciiTheme="majorHAnsi" w:hAnsiTheme="majorHAnsi" w:cstheme="majorHAnsi"/>
              </w:rPr>
              <w:t xml:space="preserve">Blackjack’s response was:  </w:t>
            </w:r>
          </w:p>
          <w:p w14:paraId="75BF27E1" w14:textId="0BC9870F" w:rsidR="00AD3DD0" w:rsidRPr="00DC17EE" w:rsidRDefault="00AD3DD0" w:rsidP="00AD3DD0">
            <w:pPr>
              <w:spacing w:after="160"/>
              <w:ind w:left="720"/>
              <w:rPr>
                <w:rFonts w:asciiTheme="majorHAnsi" w:hAnsiTheme="majorHAnsi" w:cstheme="majorHAnsi"/>
                <w:b/>
                <w:i/>
                <w:iCs/>
                <w:sz w:val="22"/>
                <w:szCs w:val="22"/>
              </w:rPr>
            </w:pPr>
            <w:r w:rsidRPr="00DC17EE">
              <w:rPr>
                <w:rFonts w:asciiTheme="majorHAnsi" w:hAnsiTheme="majorHAnsi" w:cstheme="majorHAnsi"/>
                <w:i/>
                <w:iCs/>
                <w:sz w:val="22"/>
                <w:szCs w:val="22"/>
              </w:rPr>
              <w:t xml:space="preserve">“If a transition is needed, Blackjack Uniforms will meet with the successor and review the various products, delivery requirements, inform successor of key contacts and assist in the transition as required.  The timeline for transferring responsibilities will be handled as determined by department requirements.”   </w:t>
            </w:r>
          </w:p>
          <w:p w14:paraId="285F2EDF" w14:textId="292EAF0F" w:rsidR="00CE05AC" w:rsidRPr="00AD3DD0" w:rsidRDefault="00AD3DD0" w:rsidP="00C45F5D">
            <w:pPr>
              <w:rPr>
                <w:rFonts w:asciiTheme="majorHAnsi" w:hAnsiTheme="majorHAnsi" w:cstheme="majorHAnsi"/>
              </w:rPr>
            </w:pPr>
            <w:r w:rsidRPr="00AD3DD0">
              <w:rPr>
                <w:rFonts w:asciiTheme="majorHAnsi" w:hAnsiTheme="majorHAnsi" w:cstheme="majorHAnsi"/>
              </w:rPr>
              <w:t>Please confirm you have nothing else to add.</w:t>
            </w:r>
          </w:p>
        </w:tc>
        <w:tc>
          <w:tcPr>
            <w:tcW w:w="6660" w:type="dxa"/>
            <w:shd w:val="clear" w:color="auto" w:fill="DEEAF6" w:themeFill="accent1" w:themeFillTint="33"/>
          </w:tcPr>
          <w:p w14:paraId="6695DE4D" w14:textId="67024C79" w:rsidR="00CE05AC" w:rsidRPr="00E371B1" w:rsidRDefault="3613A743" w:rsidP="00C45F5D">
            <w:r>
              <w:t xml:space="preserve">Confirming Blackjack Uniforms has nothing to add. </w:t>
            </w:r>
          </w:p>
        </w:tc>
      </w:tr>
      <w:tr w:rsidR="00CE05AC" w:rsidRPr="00E371B1" w14:paraId="1243EA13" w14:textId="77777777" w:rsidTr="3613A743">
        <w:tc>
          <w:tcPr>
            <w:tcW w:w="1075" w:type="dxa"/>
          </w:tcPr>
          <w:p w14:paraId="2E5AD6F6" w14:textId="7C78B8D5" w:rsidR="00CE05AC" w:rsidRDefault="00AD3DD0" w:rsidP="00C45F5D">
            <w:r>
              <w:t>2.4.12</w:t>
            </w:r>
          </w:p>
        </w:tc>
        <w:tc>
          <w:tcPr>
            <w:tcW w:w="6660" w:type="dxa"/>
          </w:tcPr>
          <w:p w14:paraId="5F84EC1A" w14:textId="77777777" w:rsidR="00DC17EE" w:rsidRDefault="00DC17EE" w:rsidP="00C45F5D">
            <w:pPr>
              <w:rPr>
                <w:rFonts w:asciiTheme="majorHAnsi" w:hAnsiTheme="majorHAnsi" w:cstheme="majorHAnsi"/>
              </w:rPr>
            </w:pPr>
            <w:r>
              <w:rPr>
                <w:rFonts w:asciiTheme="majorHAnsi" w:hAnsiTheme="majorHAnsi" w:cstheme="majorHAnsi"/>
              </w:rPr>
              <w:t xml:space="preserve">The question asked Respondents to explain in detail the description of their uniform specifications and quality control procedures to ensure compliance.  </w:t>
            </w:r>
          </w:p>
          <w:p w14:paraId="2B033EDD" w14:textId="77777777" w:rsidR="00DC17EE" w:rsidRDefault="00DC17EE" w:rsidP="00DC17EE">
            <w:pPr>
              <w:rPr>
                <w:rFonts w:asciiTheme="majorHAnsi" w:hAnsiTheme="majorHAnsi" w:cstheme="majorHAnsi"/>
              </w:rPr>
            </w:pPr>
            <w:r>
              <w:rPr>
                <w:rFonts w:asciiTheme="majorHAnsi" w:hAnsiTheme="majorHAnsi" w:cstheme="majorHAnsi"/>
              </w:rPr>
              <w:t xml:space="preserve">Blackjack’s response was:  </w:t>
            </w:r>
          </w:p>
          <w:p w14:paraId="23A75F9B" w14:textId="0D2C0784" w:rsidR="00DC17EE" w:rsidRPr="00DC17EE" w:rsidRDefault="00DC17EE" w:rsidP="00DC17EE">
            <w:pPr>
              <w:spacing w:after="160"/>
              <w:ind w:left="720"/>
              <w:rPr>
                <w:rFonts w:asciiTheme="majorHAnsi" w:hAnsiTheme="majorHAnsi" w:cstheme="majorHAnsi"/>
                <w:b/>
                <w:i/>
                <w:iCs/>
                <w:sz w:val="22"/>
                <w:szCs w:val="22"/>
              </w:rPr>
            </w:pPr>
            <w:r w:rsidRPr="00DC17EE">
              <w:rPr>
                <w:rFonts w:asciiTheme="majorHAnsi" w:hAnsiTheme="majorHAnsi" w:cstheme="majorHAnsi"/>
                <w:i/>
                <w:iCs/>
                <w:sz w:val="22"/>
                <w:szCs w:val="22"/>
              </w:rPr>
              <w:t>“Blackjack Uniforms will supply items that will meet or exceed the uniform specifications.”</w:t>
            </w:r>
          </w:p>
          <w:p w14:paraId="6DF563AC" w14:textId="0962857A" w:rsidR="00CE05AC" w:rsidRDefault="00DC17EE" w:rsidP="00C45F5D">
            <w:r>
              <w:rPr>
                <w:rFonts w:asciiTheme="majorHAnsi" w:hAnsiTheme="majorHAnsi" w:cstheme="majorHAnsi"/>
              </w:rPr>
              <w:t>Please confirm you have nothing else to add.</w:t>
            </w:r>
          </w:p>
        </w:tc>
        <w:tc>
          <w:tcPr>
            <w:tcW w:w="6660" w:type="dxa"/>
            <w:shd w:val="clear" w:color="auto" w:fill="DEEAF6" w:themeFill="accent1" w:themeFillTint="33"/>
          </w:tcPr>
          <w:p w14:paraId="79FDA22F" w14:textId="231FB1D4" w:rsidR="00CE05AC" w:rsidRPr="00E371B1" w:rsidRDefault="3613A743" w:rsidP="00C45F5D">
            <w:r>
              <w:t xml:space="preserve">In serving the IDOC for past 10 years, Blackjack Uniforms has been able to meet or surpass the specifications of required products. </w:t>
            </w:r>
          </w:p>
        </w:tc>
      </w:tr>
    </w:tbl>
    <w:p w14:paraId="2F97802C" w14:textId="22AB22C8" w:rsidR="008E1F11" w:rsidRDefault="008E1F11">
      <w:pPr>
        <w:rPr>
          <w:b/>
          <w:smallCaps/>
        </w:rPr>
      </w:pPr>
    </w:p>
    <w:p w14:paraId="50A7114A" w14:textId="2214B289" w:rsidR="008E1F11" w:rsidRDefault="008E1F11">
      <w:pPr>
        <w:rPr>
          <w:b/>
          <w:smallCaps/>
        </w:rPr>
      </w:pPr>
    </w:p>
    <w:tbl>
      <w:tblPr>
        <w:tblStyle w:val="TableGrid"/>
        <w:tblW w:w="14395" w:type="dxa"/>
        <w:tblLook w:val="04A0" w:firstRow="1" w:lastRow="0" w:firstColumn="1" w:lastColumn="0" w:noHBand="0" w:noVBand="1"/>
      </w:tblPr>
      <w:tblGrid>
        <w:gridCol w:w="1075"/>
        <w:gridCol w:w="6660"/>
        <w:gridCol w:w="6660"/>
      </w:tblGrid>
      <w:tr w:rsidR="00B03739" w:rsidRPr="00E371B1" w14:paraId="580FFF43" w14:textId="77777777" w:rsidTr="3613A743">
        <w:trPr>
          <w:tblHeader/>
        </w:trPr>
        <w:tc>
          <w:tcPr>
            <w:tcW w:w="14395" w:type="dxa"/>
            <w:gridSpan w:val="3"/>
            <w:tcBorders>
              <w:top w:val="nil"/>
              <w:left w:val="nil"/>
              <w:bottom w:val="single" w:sz="4" w:space="0" w:color="auto"/>
              <w:right w:val="nil"/>
            </w:tcBorders>
            <w:shd w:val="clear" w:color="auto" w:fill="FFFFFF" w:themeFill="background1"/>
            <w:vAlign w:val="center"/>
          </w:tcPr>
          <w:p w14:paraId="629A648A" w14:textId="2C461AB0" w:rsidR="00B03739" w:rsidRPr="00E371B1" w:rsidRDefault="00C43DF7" w:rsidP="00EF69CB">
            <w:pPr>
              <w:rPr>
                <w:b/>
                <w:smallCaps/>
              </w:rPr>
            </w:pPr>
            <w:r>
              <w:rPr>
                <w:b/>
                <w:smallCaps/>
                <w:color w:val="FF0000"/>
              </w:rPr>
              <w:t xml:space="preserve">Attachment </w:t>
            </w:r>
            <w:r w:rsidR="00D96A67">
              <w:rPr>
                <w:b/>
                <w:smallCaps/>
                <w:color w:val="FF0000"/>
              </w:rPr>
              <w:t>D</w:t>
            </w:r>
            <w:r>
              <w:rPr>
                <w:b/>
                <w:smallCaps/>
                <w:color w:val="FF0000"/>
              </w:rPr>
              <w:t xml:space="preserve"> – </w:t>
            </w:r>
            <w:r w:rsidR="00D96A67">
              <w:rPr>
                <w:b/>
                <w:smallCaps/>
                <w:color w:val="FF0000"/>
              </w:rPr>
              <w:t>Cost Proposal</w:t>
            </w:r>
          </w:p>
        </w:tc>
      </w:tr>
      <w:tr w:rsidR="00B03739" w:rsidRPr="00E371B1" w14:paraId="6C5452C7" w14:textId="77777777" w:rsidTr="3613A743">
        <w:trPr>
          <w:tblHeader/>
        </w:trPr>
        <w:tc>
          <w:tcPr>
            <w:tcW w:w="1075" w:type="dxa"/>
            <w:tcBorders>
              <w:top w:val="single" w:sz="4" w:space="0" w:color="auto"/>
            </w:tcBorders>
            <w:shd w:val="clear" w:color="auto" w:fill="262626" w:themeFill="text1" w:themeFillTint="D9"/>
            <w:vAlign w:val="center"/>
          </w:tcPr>
          <w:p w14:paraId="78C09437" w14:textId="77777777" w:rsidR="00B03739" w:rsidRPr="00E371B1" w:rsidRDefault="00B03739" w:rsidP="00EF69CB">
            <w:pPr>
              <w:jc w:val="center"/>
              <w:rPr>
                <w:b/>
                <w:smallCaps/>
              </w:rPr>
            </w:pPr>
            <w:r w:rsidRPr="00E371B1">
              <w:rPr>
                <w:b/>
                <w:smallCaps/>
              </w:rPr>
              <w:t>Section Number</w:t>
            </w:r>
          </w:p>
        </w:tc>
        <w:tc>
          <w:tcPr>
            <w:tcW w:w="6660" w:type="dxa"/>
            <w:tcBorders>
              <w:top w:val="single" w:sz="4" w:space="0" w:color="auto"/>
            </w:tcBorders>
            <w:shd w:val="clear" w:color="auto" w:fill="262626" w:themeFill="text1" w:themeFillTint="D9"/>
            <w:vAlign w:val="center"/>
          </w:tcPr>
          <w:p w14:paraId="0F02EAE2" w14:textId="77777777" w:rsidR="00B03739" w:rsidRPr="00E371B1" w:rsidRDefault="00B03739" w:rsidP="00EF69CB">
            <w:pPr>
              <w:jc w:val="center"/>
              <w:rPr>
                <w:b/>
                <w:smallCaps/>
              </w:rPr>
            </w:pPr>
            <w:r w:rsidRPr="00E371B1">
              <w:rPr>
                <w:b/>
                <w:smallCaps/>
              </w:rPr>
              <w:t>Clarification Question</w:t>
            </w:r>
          </w:p>
        </w:tc>
        <w:tc>
          <w:tcPr>
            <w:tcW w:w="6660" w:type="dxa"/>
            <w:tcBorders>
              <w:top w:val="single" w:sz="4" w:space="0" w:color="auto"/>
            </w:tcBorders>
            <w:shd w:val="clear" w:color="auto" w:fill="262626" w:themeFill="text1" w:themeFillTint="D9"/>
            <w:vAlign w:val="center"/>
          </w:tcPr>
          <w:p w14:paraId="7DF99EF7" w14:textId="77777777" w:rsidR="00B03739" w:rsidRPr="00E371B1" w:rsidRDefault="00B03739" w:rsidP="00EF69CB">
            <w:pPr>
              <w:jc w:val="center"/>
              <w:rPr>
                <w:b/>
                <w:smallCaps/>
              </w:rPr>
            </w:pPr>
            <w:r w:rsidRPr="00E371B1">
              <w:rPr>
                <w:b/>
                <w:smallCaps/>
              </w:rPr>
              <w:t>Respondent Response</w:t>
            </w:r>
          </w:p>
        </w:tc>
      </w:tr>
      <w:tr w:rsidR="00B03739" w:rsidRPr="00E371B1" w14:paraId="19FBE8F8" w14:textId="77777777" w:rsidTr="3613A743">
        <w:tc>
          <w:tcPr>
            <w:tcW w:w="1075" w:type="dxa"/>
          </w:tcPr>
          <w:p w14:paraId="79F88F9B" w14:textId="7CB0540F" w:rsidR="00B03739" w:rsidRDefault="00D96A67" w:rsidP="00E17146">
            <w:pPr>
              <w:jc w:val="center"/>
            </w:pPr>
            <w:r>
              <w:t>N/A</w:t>
            </w:r>
          </w:p>
        </w:tc>
        <w:tc>
          <w:tcPr>
            <w:tcW w:w="6660" w:type="dxa"/>
          </w:tcPr>
          <w:p w14:paraId="4FAA1C20" w14:textId="560D9D7E" w:rsidR="00B03739" w:rsidRPr="00D96A67" w:rsidRDefault="00D96A67" w:rsidP="00D96A67">
            <w:pPr>
              <w:rPr>
                <w:rFonts w:ascii="Calibri Light" w:hAnsi="Calibri Light" w:cs="Calibri Light"/>
              </w:rPr>
            </w:pPr>
            <w:r w:rsidRPr="00D96A67">
              <w:rPr>
                <w:rFonts w:ascii="Calibri Light" w:hAnsi="Calibri Light" w:cs="Calibri Light"/>
              </w:rPr>
              <w:t>For evaluation purposes, verify which items are Blackjack’s official response (i.e. where pricing and manufacturer information is listed in both the main columns and the alternate columns).</w:t>
            </w:r>
          </w:p>
        </w:tc>
        <w:tc>
          <w:tcPr>
            <w:tcW w:w="6660" w:type="dxa"/>
            <w:shd w:val="clear" w:color="auto" w:fill="DEEAF6" w:themeFill="accent1" w:themeFillTint="33"/>
          </w:tcPr>
          <w:p w14:paraId="4C05EA57" w14:textId="37CA53AB" w:rsidR="00B03739" w:rsidRDefault="3613A743" w:rsidP="00EF69CB">
            <w:r>
              <w:t>The official response is the main column.</w:t>
            </w:r>
          </w:p>
        </w:tc>
      </w:tr>
      <w:tr w:rsidR="00B03739" w:rsidRPr="00E371B1" w14:paraId="7F13091B" w14:textId="77777777" w:rsidTr="3613A743">
        <w:tc>
          <w:tcPr>
            <w:tcW w:w="1075" w:type="dxa"/>
          </w:tcPr>
          <w:p w14:paraId="70253201" w14:textId="0924A8A5" w:rsidR="00B03739" w:rsidRDefault="00E17146" w:rsidP="00E17146">
            <w:pPr>
              <w:jc w:val="center"/>
            </w:pPr>
            <w:r>
              <w:t>N/A</w:t>
            </w:r>
          </w:p>
        </w:tc>
        <w:tc>
          <w:tcPr>
            <w:tcW w:w="6660" w:type="dxa"/>
          </w:tcPr>
          <w:p w14:paraId="5DFC4E3E" w14:textId="7A43F4A0" w:rsidR="00B03739" w:rsidRPr="00E17146" w:rsidRDefault="00E17146" w:rsidP="00E17146">
            <w:pPr>
              <w:rPr>
                <w:rFonts w:asciiTheme="majorHAnsi" w:hAnsiTheme="majorHAnsi" w:cstheme="majorHAnsi"/>
              </w:rPr>
            </w:pPr>
            <w:r w:rsidRPr="00E17146">
              <w:rPr>
                <w:rFonts w:asciiTheme="majorHAnsi" w:hAnsiTheme="majorHAnsi" w:cstheme="majorHAnsi"/>
              </w:rPr>
              <w:t>According to the Q&amp;A response to question number 15</w:t>
            </w:r>
            <w:r>
              <w:rPr>
                <w:rFonts w:asciiTheme="majorHAnsi" w:hAnsiTheme="majorHAnsi" w:cstheme="majorHAnsi"/>
              </w:rPr>
              <w:t xml:space="preserve"> (see attached document titled “</w:t>
            </w:r>
            <w:r w:rsidRPr="00E17146">
              <w:rPr>
                <w:rFonts w:asciiTheme="majorHAnsi" w:hAnsiTheme="majorHAnsi" w:cstheme="majorHAnsi"/>
              </w:rPr>
              <w:t>114attg - Q&amp;A Responses - v02</w:t>
            </w:r>
            <w:r>
              <w:rPr>
                <w:rFonts w:asciiTheme="majorHAnsi" w:hAnsiTheme="majorHAnsi" w:cstheme="majorHAnsi"/>
              </w:rPr>
              <w:t>”)</w:t>
            </w:r>
            <w:r w:rsidRPr="00E17146">
              <w:rPr>
                <w:rFonts w:asciiTheme="majorHAnsi" w:hAnsiTheme="majorHAnsi" w:cstheme="majorHAnsi"/>
              </w:rPr>
              <w:t>, where does Blackjack fall?  How do you meet Mandatory Requirement #9?  Please provide manufacturer documentation.</w:t>
            </w:r>
          </w:p>
        </w:tc>
        <w:tc>
          <w:tcPr>
            <w:tcW w:w="6660" w:type="dxa"/>
            <w:shd w:val="clear" w:color="auto" w:fill="DEEAF6" w:themeFill="accent1" w:themeFillTint="33"/>
          </w:tcPr>
          <w:p w14:paraId="3352805C" w14:textId="469C1597" w:rsidR="00B03739" w:rsidRPr="00E371B1" w:rsidRDefault="3613A743" w:rsidP="00EF69CB">
            <w:r>
              <w:t xml:space="preserve">Blackjack Uniforms is a distributor.  Blackjack sells good/services to customers or other businesses.  </w:t>
            </w:r>
          </w:p>
        </w:tc>
      </w:tr>
    </w:tbl>
    <w:p w14:paraId="679216C3" w14:textId="77777777" w:rsidR="00685FD0" w:rsidRDefault="00685FD0" w:rsidP="00685FD0"/>
    <w:p w14:paraId="6A802BE0" w14:textId="2D4F99AE" w:rsidR="005B4AA9" w:rsidRDefault="005B4AA9">
      <w:pPr>
        <w:rPr>
          <w:b/>
          <w:i/>
          <w:smallCaps/>
        </w:rPr>
      </w:pPr>
    </w:p>
    <w:sectPr w:rsidR="005B4AA9" w:rsidSect="00132878">
      <w:headerReference w:type="default" r:id="rId7"/>
      <w:footerReference w:type="default" r:id="rId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0A86AE" w14:textId="77777777" w:rsidR="00D30A66" w:rsidRDefault="00D30A66" w:rsidP="00132878">
      <w:pPr>
        <w:spacing w:line="240" w:lineRule="auto"/>
      </w:pPr>
      <w:r>
        <w:separator/>
      </w:r>
    </w:p>
  </w:endnote>
  <w:endnote w:type="continuationSeparator" w:id="0">
    <w:p w14:paraId="252AC390" w14:textId="77777777" w:rsidR="00D30A66" w:rsidRDefault="00D30A66" w:rsidP="001328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0103397"/>
      <w:docPartObj>
        <w:docPartGallery w:val="Page Numbers (Bottom of Page)"/>
        <w:docPartUnique/>
      </w:docPartObj>
    </w:sdtPr>
    <w:sdtEndPr>
      <w:rPr>
        <w:sz w:val="20"/>
      </w:rPr>
    </w:sdtEndPr>
    <w:sdtContent>
      <w:sdt>
        <w:sdtPr>
          <w:id w:val="-1769616900"/>
          <w:docPartObj>
            <w:docPartGallery w:val="Page Numbers (Top of Page)"/>
            <w:docPartUnique/>
          </w:docPartObj>
        </w:sdtPr>
        <w:sdtEndPr>
          <w:rPr>
            <w:sz w:val="20"/>
          </w:rPr>
        </w:sdtEndPr>
        <w:sdtContent>
          <w:p w14:paraId="3292F7EF" w14:textId="77777777" w:rsidR="004944D6" w:rsidRPr="004944D6" w:rsidRDefault="004944D6" w:rsidP="004944D6">
            <w:pPr>
              <w:pStyle w:val="Footer"/>
              <w:jc w:val="right"/>
              <w:rPr>
                <w:sz w:val="12"/>
              </w:rPr>
            </w:pPr>
          </w:p>
          <w:p w14:paraId="4B3E4897" w14:textId="77777777" w:rsidR="004944D6" w:rsidRPr="004944D6" w:rsidRDefault="00CA19EA" w:rsidP="00CA19EA">
            <w:pPr>
              <w:pStyle w:val="Footer"/>
              <w:tabs>
                <w:tab w:val="left" w:pos="13395"/>
                <w:tab w:val="right" w:pos="14400"/>
              </w:tabs>
              <w:rPr>
                <w:sz w:val="20"/>
              </w:rPr>
            </w:pPr>
            <w:r>
              <w:rPr>
                <w:sz w:val="20"/>
              </w:rPr>
              <w:tab/>
            </w:r>
            <w:r>
              <w:rPr>
                <w:sz w:val="20"/>
              </w:rPr>
              <w:tab/>
            </w:r>
            <w:r>
              <w:rPr>
                <w:sz w:val="20"/>
              </w:rPr>
              <w:tab/>
            </w:r>
            <w:r>
              <w:rPr>
                <w:sz w:val="20"/>
              </w:rPr>
              <w:tab/>
            </w:r>
            <w:r w:rsidR="004944D6" w:rsidRPr="004944D6">
              <w:rPr>
                <w:sz w:val="20"/>
              </w:rPr>
              <w:t xml:space="preserve">Page </w:t>
            </w:r>
            <w:r w:rsidR="004944D6" w:rsidRPr="004944D6">
              <w:rPr>
                <w:b/>
                <w:bCs/>
                <w:sz w:val="20"/>
                <w:szCs w:val="24"/>
              </w:rPr>
              <w:fldChar w:fldCharType="begin"/>
            </w:r>
            <w:r w:rsidR="004944D6" w:rsidRPr="004944D6">
              <w:rPr>
                <w:b/>
                <w:bCs/>
                <w:sz w:val="20"/>
              </w:rPr>
              <w:instrText xml:space="preserve"> PAGE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r w:rsidR="004944D6" w:rsidRPr="004944D6">
              <w:rPr>
                <w:sz w:val="20"/>
              </w:rPr>
              <w:t xml:space="preserve"> of </w:t>
            </w:r>
            <w:r w:rsidR="004944D6" w:rsidRPr="004944D6">
              <w:rPr>
                <w:b/>
                <w:bCs/>
                <w:sz w:val="20"/>
                <w:szCs w:val="24"/>
              </w:rPr>
              <w:fldChar w:fldCharType="begin"/>
            </w:r>
            <w:r w:rsidR="004944D6" w:rsidRPr="004944D6">
              <w:rPr>
                <w:b/>
                <w:bCs/>
                <w:sz w:val="20"/>
              </w:rPr>
              <w:instrText xml:space="preserve"> NUMPAGES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A6858F" w14:textId="77777777" w:rsidR="00D30A66" w:rsidRDefault="00D30A66" w:rsidP="00132878">
      <w:pPr>
        <w:spacing w:line="240" w:lineRule="auto"/>
      </w:pPr>
      <w:r>
        <w:separator/>
      </w:r>
    </w:p>
  </w:footnote>
  <w:footnote w:type="continuationSeparator" w:id="0">
    <w:p w14:paraId="32638E39" w14:textId="77777777" w:rsidR="00D30A66" w:rsidRDefault="00D30A66" w:rsidP="001328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57F16B" w14:textId="339EC314" w:rsidR="00B03739" w:rsidRPr="00E17146" w:rsidRDefault="00B03739" w:rsidP="00B03739">
    <w:pPr>
      <w:pStyle w:val="Header"/>
      <w:jc w:val="center"/>
      <w:rPr>
        <w:b/>
        <w:smallCaps/>
        <w:u w:val="single"/>
      </w:rPr>
    </w:pPr>
    <w:r w:rsidRPr="00E17146">
      <w:rPr>
        <w:b/>
        <w:smallCaps/>
        <w:u w:val="single"/>
      </w:rPr>
      <w:t>RF</w:t>
    </w:r>
    <w:r w:rsidR="00E17146" w:rsidRPr="00E17146">
      <w:rPr>
        <w:b/>
        <w:smallCaps/>
        <w:u w:val="single"/>
      </w:rPr>
      <w:t xml:space="preserve">P ASA-19-114 </w:t>
    </w:r>
    <w:r w:rsidRPr="00E17146">
      <w:rPr>
        <w:b/>
        <w:smallCaps/>
        <w:u w:val="single"/>
      </w:rPr>
      <w:t>Clarifications</w:t>
    </w:r>
  </w:p>
  <w:p w14:paraId="05D5928E" w14:textId="77777777" w:rsidR="00132878" w:rsidRPr="00132878" w:rsidRDefault="00132878" w:rsidP="00132878">
    <w:pPr>
      <w:pStyle w:val="Header"/>
      <w:jc w:val="center"/>
      <w:rPr>
        <w:b/>
        <w:sz w:val="1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B6B7E"/>
    <w:multiLevelType w:val="hybridMultilevel"/>
    <w:tmpl w:val="2C205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D4B35"/>
    <w:multiLevelType w:val="hybridMultilevel"/>
    <w:tmpl w:val="E42CE7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8610168"/>
    <w:multiLevelType w:val="hybridMultilevel"/>
    <w:tmpl w:val="37FA037A"/>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3" w15:restartNumberingAfterBreak="0">
    <w:nsid w:val="500932B0"/>
    <w:multiLevelType w:val="hybridMultilevel"/>
    <w:tmpl w:val="3D94D7D0"/>
    <w:lvl w:ilvl="0" w:tplc="04090001">
      <w:start w:val="1"/>
      <w:numFmt w:val="bullet"/>
      <w:lvlText w:val=""/>
      <w:lvlJc w:val="left"/>
      <w:pPr>
        <w:ind w:left="1140" w:hanging="360"/>
      </w:pPr>
      <w:rPr>
        <w:rFonts w:ascii="Symbol" w:hAnsi="Symbol" w:hint="default"/>
      </w:rPr>
    </w:lvl>
    <w:lvl w:ilvl="1" w:tplc="04090003">
      <w:start w:val="1"/>
      <w:numFmt w:val="bullet"/>
      <w:lvlText w:val="o"/>
      <w:lvlJc w:val="left"/>
      <w:pPr>
        <w:ind w:left="1860" w:hanging="360"/>
      </w:pPr>
      <w:rPr>
        <w:rFonts w:ascii="Courier New" w:hAnsi="Courier New" w:cs="Courier New" w:hint="default"/>
      </w:rPr>
    </w:lvl>
    <w:lvl w:ilvl="2" w:tplc="04090005">
      <w:start w:val="1"/>
      <w:numFmt w:val="bullet"/>
      <w:lvlText w:val=""/>
      <w:lvlJc w:val="left"/>
      <w:pPr>
        <w:ind w:left="2580" w:hanging="360"/>
      </w:pPr>
      <w:rPr>
        <w:rFonts w:ascii="Wingdings" w:hAnsi="Wingdings" w:hint="default"/>
      </w:rPr>
    </w:lvl>
    <w:lvl w:ilvl="3" w:tplc="04090001">
      <w:start w:val="1"/>
      <w:numFmt w:val="bullet"/>
      <w:lvlText w:val=""/>
      <w:lvlJc w:val="left"/>
      <w:pPr>
        <w:ind w:left="3300" w:hanging="360"/>
      </w:pPr>
      <w:rPr>
        <w:rFonts w:ascii="Symbol" w:hAnsi="Symbol" w:hint="default"/>
      </w:rPr>
    </w:lvl>
    <w:lvl w:ilvl="4" w:tplc="04090003">
      <w:start w:val="1"/>
      <w:numFmt w:val="bullet"/>
      <w:lvlText w:val="o"/>
      <w:lvlJc w:val="left"/>
      <w:pPr>
        <w:ind w:left="4020" w:hanging="360"/>
      </w:pPr>
      <w:rPr>
        <w:rFonts w:ascii="Courier New" w:hAnsi="Courier New" w:cs="Courier New" w:hint="default"/>
      </w:rPr>
    </w:lvl>
    <w:lvl w:ilvl="5" w:tplc="04090005">
      <w:start w:val="1"/>
      <w:numFmt w:val="bullet"/>
      <w:lvlText w:val=""/>
      <w:lvlJc w:val="left"/>
      <w:pPr>
        <w:ind w:left="4740" w:hanging="360"/>
      </w:pPr>
      <w:rPr>
        <w:rFonts w:ascii="Wingdings" w:hAnsi="Wingdings" w:hint="default"/>
      </w:rPr>
    </w:lvl>
    <w:lvl w:ilvl="6" w:tplc="04090001">
      <w:start w:val="1"/>
      <w:numFmt w:val="bullet"/>
      <w:lvlText w:val=""/>
      <w:lvlJc w:val="left"/>
      <w:pPr>
        <w:ind w:left="5460" w:hanging="360"/>
      </w:pPr>
      <w:rPr>
        <w:rFonts w:ascii="Symbol" w:hAnsi="Symbol" w:hint="default"/>
      </w:rPr>
    </w:lvl>
    <w:lvl w:ilvl="7" w:tplc="04090003">
      <w:start w:val="1"/>
      <w:numFmt w:val="bullet"/>
      <w:lvlText w:val="o"/>
      <w:lvlJc w:val="left"/>
      <w:pPr>
        <w:ind w:left="6180" w:hanging="360"/>
      </w:pPr>
      <w:rPr>
        <w:rFonts w:ascii="Courier New" w:hAnsi="Courier New" w:cs="Courier New" w:hint="default"/>
      </w:rPr>
    </w:lvl>
    <w:lvl w:ilvl="8" w:tplc="04090005">
      <w:start w:val="1"/>
      <w:numFmt w:val="bullet"/>
      <w:lvlText w:val=""/>
      <w:lvlJc w:val="left"/>
      <w:pPr>
        <w:ind w:left="6900" w:hanging="360"/>
      </w:pPr>
      <w:rPr>
        <w:rFonts w:ascii="Wingdings" w:hAnsi="Wingdings" w:hint="default"/>
      </w:rPr>
    </w:lvl>
  </w:abstractNum>
  <w:abstractNum w:abstractNumId="4" w15:restartNumberingAfterBreak="0">
    <w:nsid w:val="74C740A2"/>
    <w:multiLevelType w:val="hybridMultilevel"/>
    <w:tmpl w:val="82D498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47"/>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878"/>
    <w:rsid w:val="00021A9C"/>
    <w:rsid w:val="00044EEA"/>
    <w:rsid w:val="00056904"/>
    <w:rsid w:val="00082C7C"/>
    <w:rsid w:val="00132878"/>
    <w:rsid w:val="00140C74"/>
    <w:rsid w:val="001D35D0"/>
    <w:rsid w:val="0023019F"/>
    <w:rsid w:val="002A0BAA"/>
    <w:rsid w:val="002C14BB"/>
    <w:rsid w:val="002E75F5"/>
    <w:rsid w:val="003B15FC"/>
    <w:rsid w:val="003B46CA"/>
    <w:rsid w:val="00414D33"/>
    <w:rsid w:val="00422F9F"/>
    <w:rsid w:val="004944D6"/>
    <w:rsid w:val="004D18D2"/>
    <w:rsid w:val="0052413B"/>
    <w:rsid w:val="005462A9"/>
    <w:rsid w:val="00582B16"/>
    <w:rsid w:val="00593863"/>
    <w:rsid w:val="005B4AA9"/>
    <w:rsid w:val="005C7BC1"/>
    <w:rsid w:val="005E02CB"/>
    <w:rsid w:val="00613D4B"/>
    <w:rsid w:val="00632E8C"/>
    <w:rsid w:val="00685FD0"/>
    <w:rsid w:val="00695E7C"/>
    <w:rsid w:val="006E55FC"/>
    <w:rsid w:val="00766082"/>
    <w:rsid w:val="00771570"/>
    <w:rsid w:val="007A3CBD"/>
    <w:rsid w:val="007C20FF"/>
    <w:rsid w:val="007F7905"/>
    <w:rsid w:val="00867C4B"/>
    <w:rsid w:val="008755A1"/>
    <w:rsid w:val="008A59B6"/>
    <w:rsid w:val="008E1F11"/>
    <w:rsid w:val="0092693A"/>
    <w:rsid w:val="00986504"/>
    <w:rsid w:val="009D764A"/>
    <w:rsid w:val="009E3CB4"/>
    <w:rsid w:val="00A15A8C"/>
    <w:rsid w:val="00A73E69"/>
    <w:rsid w:val="00AA7167"/>
    <w:rsid w:val="00AB140C"/>
    <w:rsid w:val="00AB4972"/>
    <w:rsid w:val="00AD3DD0"/>
    <w:rsid w:val="00AF4858"/>
    <w:rsid w:val="00B03739"/>
    <w:rsid w:val="00B17199"/>
    <w:rsid w:val="00B80BE2"/>
    <w:rsid w:val="00B96F3C"/>
    <w:rsid w:val="00BB589F"/>
    <w:rsid w:val="00BF3AFB"/>
    <w:rsid w:val="00C14FBF"/>
    <w:rsid w:val="00C33592"/>
    <w:rsid w:val="00C43DF7"/>
    <w:rsid w:val="00C458ED"/>
    <w:rsid w:val="00C73E3A"/>
    <w:rsid w:val="00C81FE1"/>
    <w:rsid w:val="00C84AF8"/>
    <w:rsid w:val="00C84BF6"/>
    <w:rsid w:val="00CA19EA"/>
    <w:rsid w:val="00CA57A4"/>
    <w:rsid w:val="00CB41E9"/>
    <w:rsid w:val="00CE05AC"/>
    <w:rsid w:val="00D30A66"/>
    <w:rsid w:val="00D96A67"/>
    <w:rsid w:val="00DC17EE"/>
    <w:rsid w:val="00E17146"/>
    <w:rsid w:val="00E33417"/>
    <w:rsid w:val="00E371B1"/>
    <w:rsid w:val="00E51646"/>
    <w:rsid w:val="00E86145"/>
    <w:rsid w:val="00FB4EEB"/>
    <w:rsid w:val="3613A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A64952"/>
  <w15:chartTrackingRefBased/>
  <w15:docId w15:val="{96D57219-7EC3-4A8A-A4BE-77C4C234F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imes New Roman"/>
        <w:sz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2878"/>
    <w:pPr>
      <w:tabs>
        <w:tab w:val="center" w:pos="4680"/>
        <w:tab w:val="right" w:pos="9360"/>
      </w:tabs>
      <w:spacing w:line="240" w:lineRule="auto"/>
    </w:pPr>
  </w:style>
  <w:style w:type="character" w:customStyle="1" w:styleId="HeaderChar">
    <w:name w:val="Header Char"/>
    <w:basedOn w:val="DefaultParagraphFont"/>
    <w:link w:val="Header"/>
    <w:uiPriority w:val="99"/>
    <w:rsid w:val="00132878"/>
  </w:style>
  <w:style w:type="paragraph" w:styleId="Footer">
    <w:name w:val="footer"/>
    <w:basedOn w:val="Normal"/>
    <w:link w:val="FooterChar"/>
    <w:uiPriority w:val="99"/>
    <w:unhideWhenUsed/>
    <w:rsid w:val="00132878"/>
    <w:pPr>
      <w:tabs>
        <w:tab w:val="center" w:pos="4680"/>
        <w:tab w:val="right" w:pos="9360"/>
      </w:tabs>
      <w:spacing w:line="240" w:lineRule="auto"/>
    </w:pPr>
  </w:style>
  <w:style w:type="character" w:customStyle="1" w:styleId="FooterChar">
    <w:name w:val="Footer Char"/>
    <w:basedOn w:val="DefaultParagraphFont"/>
    <w:link w:val="Footer"/>
    <w:uiPriority w:val="99"/>
    <w:rsid w:val="00132878"/>
  </w:style>
  <w:style w:type="table" w:styleId="TableGrid">
    <w:name w:val="Table Grid"/>
    <w:basedOn w:val="TableNormal"/>
    <w:uiPriority w:val="39"/>
    <w:rsid w:val="002A0BA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7B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BC1"/>
    <w:rPr>
      <w:rFonts w:ascii="Segoe UI" w:hAnsi="Segoe UI" w:cs="Segoe UI"/>
      <w:sz w:val="18"/>
      <w:szCs w:val="18"/>
    </w:rPr>
  </w:style>
  <w:style w:type="paragraph" w:styleId="ListParagraph">
    <w:name w:val="List Paragraph"/>
    <w:basedOn w:val="Normal"/>
    <w:uiPriority w:val="34"/>
    <w:qFormat/>
    <w:rsid w:val="00C43DF7"/>
    <w:pPr>
      <w:ind w:left="720"/>
      <w:contextualSpacing/>
    </w:pPr>
  </w:style>
  <w:style w:type="character" w:customStyle="1" w:styleId="StyleTimesNewRomanBlack">
    <w:name w:val="Style Times New Roman Black"/>
    <w:rsid w:val="004D18D2"/>
    <w:rPr>
      <w:rFonts w:ascii="Times New Roman" w:hAnsi="Times New Roman" w:cs="Times New Roman"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1290043">
      <w:bodyDiv w:val="1"/>
      <w:marLeft w:val="0"/>
      <w:marRight w:val="0"/>
      <w:marTop w:val="0"/>
      <w:marBottom w:val="0"/>
      <w:divBdr>
        <w:top w:val="none" w:sz="0" w:space="0" w:color="auto"/>
        <w:left w:val="none" w:sz="0" w:space="0" w:color="auto"/>
        <w:bottom w:val="none" w:sz="0" w:space="0" w:color="auto"/>
        <w:right w:val="none" w:sz="0" w:space="0" w:color="auto"/>
      </w:divBdr>
    </w:div>
    <w:div w:id="1609776561">
      <w:bodyDiv w:val="1"/>
      <w:marLeft w:val="0"/>
      <w:marRight w:val="0"/>
      <w:marTop w:val="0"/>
      <w:marBottom w:val="0"/>
      <w:divBdr>
        <w:top w:val="none" w:sz="0" w:space="0" w:color="auto"/>
        <w:left w:val="none" w:sz="0" w:space="0" w:color="auto"/>
        <w:bottom w:val="none" w:sz="0" w:space="0" w:color="auto"/>
        <w:right w:val="none" w:sz="0" w:space="0" w:color="auto"/>
      </w:divBdr>
    </w:div>
    <w:div w:id="179313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881</Words>
  <Characters>5022</Characters>
  <Application>Microsoft Office Word</Application>
  <DocSecurity>4</DocSecurity>
  <Lines>41</Lines>
  <Paragraphs>11</Paragraphs>
  <ScaleCrop>false</ScaleCrop>
  <Company>State of Indiana</Company>
  <LinksUpToDate>false</LinksUpToDate>
  <CharactersWithSpaces>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 Helmer IV | IDOA</dc:creator>
  <cp:keywords/>
  <dc:description/>
  <cp:lastModifiedBy>Deaton, Teresa</cp:lastModifiedBy>
  <cp:revision>2</cp:revision>
  <dcterms:created xsi:type="dcterms:W3CDTF">2020-12-29T15:59:00Z</dcterms:created>
  <dcterms:modified xsi:type="dcterms:W3CDTF">2020-12-29T15:59:00Z</dcterms:modified>
</cp:coreProperties>
</file>